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36" w:rsidRPr="00533441" w:rsidRDefault="009065E5" w:rsidP="00533441">
      <w:pPr>
        <w:jc w:val="center"/>
        <w:rPr>
          <w:rFonts w:asciiTheme="majorEastAsia" w:eastAsiaTheme="majorEastAsia" w:hAnsiTheme="majorEastAsia"/>
          <w:sz w:val="24"/>
        </w:rPr>
      </w:pPr>
      <w:r w:rsidRPr="00533441">
        <w:rPr>
          <w:rFonts w:asciiTheme="majorEastAsia" w:eastAsiaTheme="majorEastAsia" w:hAnsiTheme="majorEastAsia" w:hint="eastAsia"/>
          <w:sz w:val="24"/>
        </w:rPr>
        <w:t>いわき市における</w:t>
      </w:r>
      <w:r w:rsidR="00ED3584">
        <w:rPr>
          <w:rFonts w:asciiTheme="majorEastAsia" w:eastAsiaTheme="majorEastAsia" w:hAnsiTheme="majorEastAsia" w:hint="eastAsia"/>
          <w:sz w:val="24"/>
        </w:rPr>
        <w:t>小規模事業所の経営実態について</w:t>
      </w:r>
    </w:p>
    <w:p w:rsidR="009065E5" w:rsidRPr="005D1759" w:rsidRDefault="009065E5" w:rsidP="00533441">
      <w:pPr>
        <w:jc w:val="center"/>
        <w:rPr>
          <w:rFonts w:asciiTheme="majorEastAsia" w:eastAsiaTheme="majorEastAsia" w:hAnsiTheme="majorEastAsia"/>
          <w:sz w:val="22"/>
        </w:rPr>
      </w:pPr>
      <w:r w:rsidRPr="005D1759">
        <w:rPr>
          <w:rFonts w:asciiTheme="majorEastAsia" w:eastAsiaTheme="majorEastAsia" w:hAnsiTheme="majorEastAsia" w:hint="eastAsia"/>
          <w:sz w:val="22"/>
        </w:rPr>
        <w:t>―</w:t>
      </w:r>
      <w:r w:rsidR="005D1759" w:rsidRPr="005D1759">
        <w:rPr>
          <w:rFonts w:asciiTheme="majorEastAsia" w:eastAsiaTheme="majorEastAsia" w:hAnsiTheme="majorEastAsia" w:hint="eastAsia"/>
          <w:sz w:val="22"/>
        </w:rPr>
        <w:t>平成27年度　会員事業所経営実態調査から</w:t>
      </w:r>
      <w:r w:rsidRPr="005D1759">
        <w:rPr>
          <w:rFonts w:asciiTheme="majorEastAsia" w:eastAsiaTheme="majorEastAsia" w:hAnsiTheme="majorEastAsia" w:hint="eastAsia"/>
          <w:sz w:val="22"/>
        </w:rPr>
        <w:t>―</w:t>
      </w:r>
    </w:p>
    <w:p w:rsidR="00533441" w:rsidRDefault="00533441" w:rsidP="00533441">
      <w:pPr>
        <w:rPr>
          <w:rFonts w:asciiTheme="minorEastAsia" w:hAnsiTheme="minorEastAsia"/>
        </w:rPr>
      </w:pPr>
    </w:p>
    <w:p w:rsidR="009065E5" w:rsidRPr="00E0772D" w:rsidRDefault="00533441" w:rsidP="00533441">
      <w:pPr>
        <w:rPr>
          <w:rFonts w:asciiTheme="majorEastAsia" w:eastAsiaTheme="majorEastAsia" w:hAnsiTheme="majorEastAsia"/>
          <w:sz w:val="22"/>
        </w:rPr>
      </w:pPr>
      <w:r w:rsidRPr="00E0772D">
        <w:rPr>
          <w:rFonts w:asciiTheme="majorEastAsia" w:eastAsiaTheme="majorEastAsia" w:hAnsiTheme="majorEastAsia" w:hint="eastAsia"/>
          <w:sz w:val="22"/>
        </w:rPr>
        <w:t>1.はじめに</w:t>
      </w:r>
    </w:p>
    <w:p w:rsidR="00533441" w:rsidRPr="00533441" w:rsidRDefault="00533441" w:rsidP="00533441">
      <w:pPr>
        <w:pStyle w:val="a7"/>
        <w:ind w:leftChars="0" w:left="360"/>
        <w:rPr>
          <w:rFonts w:asciiTheme="minorEastAsia" w:hAnsiTheme="minorEastAsia"/>
        </w:rPr>
      </w:pPr>
    </w:p>
    <w:p w:rsidR="00D47C44" w:rsidRDefault="009065E5" w:rsidP="006E3E12">
      <w:pPr>
        <w:rPr>
          <w:rFonts w:asciiTheme="minorEastAsia" w:hAnsiTheme="minorEastAsia"/>
        </w:rPr>
      </w:pPr>
      <w:r w:rsidRPr="00271BA6">
        <w:rPr>
          <w:rFonts w:asciiTheme="minorEastAsia" w:hAnsiTheme="minorEastAsia" w:hint="eastAsia"/>
        </w:rPr>
        <w:t xml:space="preserve">　</w:t>
      </w:r>
      <w:r w:rsidR="006E3E12">
        <w:rPr>
          <w:rFonts w:asciiTheme="minorEastAsia" w:hAnsiTheme="minorEastAsia" w:hint="eastAsia"/>
        </w:rPr>
        <w:t>いわき商工会議所では、平成27年度に会員事業所の経営実態を把握・分析するため、ヒアリング調査を実施した。調査対象は会員事業所</w:t>
      </w:r>
      <w:r w:rsidR="005635CB">
        <w:rPr>
          <w:rFonts w:asciiTheme="minorEastAsia" w:hAnsiTheme="minorEastAsia" w:hint="eastAsia"/>
        </w:rPr>
        <w:t>2,000社を目途とし、</w:t>
      </w:r>
      <w:r w:rsidR="006E3E12">
        <w:rPr>
          <w:rFonts w:asciiTheme="minorEastAsia" w:hAnsiTheme="minorEastAsia" w:hint="eastAsia"/>
        </w:rPr>
        <w:t>内1,597社でより</w:t>
      </w:r>
      <w:r w:rsidR="00EF2B96">
        <w:rPr>
          <w:rFonts w:asciiTheme="minorEastAsia" w:hAnsiTheme="minorEastAsia" w:hint="eastAsia"/>
        </w:rPr>
        <w:t>回答を得たが、</w:t>
      </w:r>
      <w:r w:rsidR="006E3E12">
        <w:rPr>
          <w:rFonts w:asciiTheme="minorEastAsia" w:hAnsiTheme="minorEastAsia" w:hint="eastAsia"/>
        </w:rPr>
        <w:t>具体的な現場の声を聴くために、訪問による調査とした。</w:t>
      </w:r>
    </w:p>
    <w:p w:rsidR="006E3E12" w:rsidRDefault="005635CB" w:rsidP="006E3E12">
      <w:pPr>
        <w:rPr>
          <w:rFonts w:asciiTheme="minorEastAsia" w:hAnsiTheme="minorEastAsia"/>
        </w:rPr>
      </w:pPr>
      <w:r>
        <w:rPr>
          <w:rFonts w:asciiTheme="minorEastAsia" w:hAnsiTheme="minorEastAsia" w:hint="eastAsia"/>
        </w:rPr>
        <w:t xml:space="preserve">　今回の調査対象の業種内訳</w:t>
      </w:r>
      <w:r w:rsidR="00684E0C">
        <w:rPr>
          <w:rFonts w:asciiTheme="minorEastAsia" w:hAnsiTheme="minorEastAsia" w:hint="eastAsia"/>
        </w:rPr>
        <w:t>をみると</w:t>
      </w:r>
      <w:r w:rsidR="003C4F60">
        <w:rPr>
          <w:rFonts w:asciiTheme="minorEastAsia" w:hAnsiTheme="minorEastAsia" w:hint="eastAsia"/>
        </w:rPr>
        <w:t>卸・小売業が最も多く、次いでその他サービス業、建設業</w:t>
      </w:r>
      <w:r>
        <w:rPr>
          <w:rFonts w:asciiTheme="minorEastAsia" w:hAnsiTheme="minorEastAsia" w:hint="eastAsia"/>
        </w:rPr>
        <w:t>、</w:t>
      </w:r>
      <w:r w:rsidR="003C4F60">
        <w:rPr>
          <w:rFonts w:asciiTheme="minorEastAsia" w:hAnsiTheme="minorEastAsia" w:hint="eastAsia"/>
        </w:rPr>
        <w:t>製造業となっている。これはいわき市内</w:t>
      </w:r>
      <w:r w:rsidR="00EF2B96">
        <w:rPr>
          <w:rFonts w:asciiTheme="minorEastAsia" w:hAnsiTheme="minorEastAsia" w:hint="eastAsia"/>
        </w:rPr>
        <w:t>全</w:t>
      </w:r>
      <w:r w:rsidR="003C4F60">
        <w:rPr>
          <w:rFonts w:asciiTheme="minorEastAsia" w:hAnsiTheme="minorEastAsia" w:hint="eastAsia"/>
        </w:rPr>
        <w:t>企業の業種内訳と</w:t>
      </w:r>
      <w:r w:rsidR="00916CCB">
        <w:rPr>
          <w:rFonts w:asciiTheme="minorEastAsia" w:hAnsiTheme="minorEastAsia" w:hint="eastAsia"/>
        </w:rPr>
        <w:t>比較すると</w:t>
      </w:r>
      <w:r w:rsidR="003C4F60">
        <w:rPr>
          <w:rFonts w:asciiTheme="minorEastAsia" w:hAnsiTheme="minorEastAsia" w:hint="eastAsia"/>
        </w:rPr>
        <w:t>、</w:t>
      </w:r>
      <w:r w:rsidR="00EF2B96">
        <w:rPr>
          <w:rFonts w:asciiTheme="minorEastAsia" w:hAnsiTheme="minorEastAsia" w:hint="eastAsia"/>
        </w:rPr>
        <w:t>若干</w:t>
      </w:r>
      <w:r w:rsidR="00916CCB">
        <w:rPr>
          <w:rFonts w:asciiTheme="minorEastAsia" w:hAnsiTheme="minorEastAsia" w:hint="eastAsia"/>
        </w:rPr>
        <w:t>卸・小売業が少ないが、概ね市内企業の分布と合致している。</w:t>
      </w:r>
    </w:p>
    <w:p w:rsidR="00F370D6" w:rsidRPr="005635CB" w:rsidRDefault="00F370D6" w:rsidP="006E3E12">
      <w:pPr>
        <w:rPr>
          <w:rFonts w:asciiTheme="minorEastAsia" w:hAnsiTheme="minorEastAsia"/>
        </w:rPr>
      </w:pPr>
      <w:r>
        <w:rPr>
          <w:rFonts w:asciiTheme="minorEastAsia" w:hAnsiTheme="minorEastAsia" w:hint="eastAsia"/>
        </w:rPr>
        <w:t xml:space="preserve">　ただし、対象となる会員企業は</w:t>
      </w:r>
      <w:r w:rsidR="00EF2B96">
        <w:rPr>
          <w:rFonts w:asciiTheme="minorEastAsia" w:hAnsiTheme="minorEastAsia" w:hint="eastAsia"/>
        </w:rPr>
        <w:t>、</w:t>
      </w:r>
      <w:r>
        <w:rPr>
          <w:rFonts w:asciiTheme="minorEastAsia" w:hAnsiTheme="minorEastAsia" w:hint="eastAsia"/>
        </w:rPr>
        <w:t>ほとんどが中小あるいは個人経営を含む小規模の地元企業を選定して調査を行っているため、現在のいわき市内企業および地域経済の</w:t>
      </w:r>
      <w:r w:rsidR="00EF2B96">
        <w:rPr>
          <w:rFonts w:asciiTheme="minorEastAsia" w:hAnsiTheme="minorEastAsia" w:hint="eastAsia"/>
        </w:rPr>
        <w:t>真の</w:t>
      </w:r>
      <w:r>
        <w:rPr>
          <w:rFonts w:asciiTheme="minorEastAsia" w:hAnsiTheme="minorEastAsia" w:hint="eastAsia"/>
        </w:rPr>
        <w:t>現状とともに、地域経済の基盤の状況、さらには中長期的な地域経済の持続性を把握することが重要な目的となっている。</w:t>
      </w:r>
    </w:p>
    <w:p w:rsidR="001A569C" w:rsidRDefault="001A569C">
      <w:pPr>
        <w:rPr>
          <w:rFonts w:asciiTheme="minorEastAsia" w:hAnsiTheme="minorEastAsia" w:hint="eastAsia"/>
        </w:rPr>
      </w:pPr>
    </w:p>
    <w:p w:rsidR="001A569C" w:rsidRPr="00EF2B96" w:rsidRDefault="007B1E9E">
      <w:pPr>
        <w:rPr>
          <w:rFonts w:asciiTheme="majorEastAsia" w:eastAsiaTheme="majorEastAsia" w:hAnsiTheme="majorEastAsia"/>
          <w:sz w:val="20"/>
        </w:rPr>
      </w:pPr>
      <w:r w:rsidRPr="00EF2B96">
        <w:rPr>
          <w:rFonts w:asciiTheme="majorEastAsia" w:eastAsiaTheme="majorEastAsia" w:hAnsiTheme="majorEastAsia" w:hint="eastAsia"/>
          <w:sz w:val="20"/>
        </w:rPr>
        <w:t>図</w:t>
      </w:r>
      <w:r w:rsidR="00DB4DD0" w:rsidRPr="00EF2B96">
        <w:rPr>
          <w:rFonts w:asciiTheme="majorEastAsia" w:eastAsiaTheme="majorEastAsia" w:hAnsiTheme="majorEastAsia" w:hint="eastAsia"/>
          <w:sz w:val="20"/>
        </w:rPr>
        <w:t>表1-1.</w:t>
      </w:r>
      <w:r w:rsidR="00533441" w:rsidRPr="00EF2B96">
        <w:rPr>
          <w:rFonts w:asciiTheme="majorEastAsia" w:eastAsiaTheme="majorEastAsia" w:hAnsiTheme="majorEastAsia" w:hint="eastAsia"/>
          <w:sz w:val="20"/>
        </w:rPr>
        <w:t>平成2</w:t>
      </w:r>
      <w:r w:rsidR="004E340E" w:rsidRPr="00EF2B96">
        <w:rPr>
          <w:rFonts w:asciiTheme="majorEastAsia" w:eastAsiaTheme="majorEastAsia" w:hAnsiTheme="majorEastAsia" w:hint="eastAsia"/>
          <w:sz w:val="20"/>
        </w:rPr>
        <w:t>7</w:t>
      </w:r>
      <w:r w:rsidR="007857B5" w:rsidRPr="00EF2B96">
        <w:rPr>
          <w:rFonts w:asciiTheme="majorEastAsia" w:eastAsiaTheme="majorEastAsia" w:hAnsiTheme="majorEastAsia" w:hint="eastAsia"/>
          <w:sz w:val="20"/>
        </w:rPr>
        <w:t>年度調査</w:t>
      </w:r>
      <w:r w:rsidR="007F51E0" w:rsidRPr="00EF2B96">
        <w:rPr>
          <w:rFonts w:asciiTheme="majorEastAsia" w:eastAsiaTheme="majorEastAsia" w:hAnsiTheme="majorEastAsia" w:hint="eastAsia"/>
          <w:sz w:val="20"/>
        </w:rPr>
        <w:t>対象の概要</w:t>
      </w:r>
    </w:p>
    <w:tbl>
      <w:tblPr>
        <w:tblW w:w="3872" w:type="dxa"/>
        <w:tblInd w:w="84" w:type="dxa"/>
        <w:tblCellMar>
          <w:left w:w="99" w:type="dxa"/>
          <w:right w:w="99" w:type="dxa"/>
        </w:tblCellMar>
        <w:tblLook w:val="04A0" w:firstRow="1" w:lastRow="0" w:firstColumn="1" w:lastColumn="0" w:noHBand="0" w:noVBand="1"/>
      </w:tblPr>
      <w:tblGrid>
        <w:gridCol w:w="2038"/>
        <w:gridCol w:w="856"/>
        <w:gridCol w:w="978"/>
      </w:tblGrid>
      <w:tr w:rsidR="004E340E" w:rsidRPr="004E340E" w:rsidTr="007B1E9E">
        <w:trPr>
          <w:trHeight w:val="300"/>
        </w:trPr>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center"/>
              <w:rPr>
                <w:rFonts w:ascii="HGPｺﾞｼｯｸE" w:eastAsia="HGPｺﾞｼｯｸE" w:hAnsi="HGPｺﾞｼｯｸE" w:cs="ＭＳ Ｐゴシック"/>
                <w:color w:val="000000"/>
                <w:kern w:val="0"/>
                <w:sz w:val="20"/>
              </w:rPr>
            </w:pPr>
            <w:r w:rsidRPr="004E340E">
              <w:rPr>
                <w:rFonts w:ascii="HGPｺﾞｼｯｸE" w:eastAsia="HGPｺﾞｼｯｸE" w:hAnsi="HGPｺﾞｼｯｸE" w:cs="ＭＳ Ｐゴシック" w:hint="eastAsia"/>
                <w:color w:val="000000"/>
                <w:kern w:val="0"/>
                <w:sz w:val="20"/>
              </w:rPr>
              <w:t>業種分類名</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center"/>
              <w:rPr>
                <w:rFonts w:ascii="HGPｺﾞｼｯｸE" w:eastAsia="HGPｺﾞｼｯｸE" w:hAnsi="HGPｺﾞｼｯｸE" w:cs="ＭＳ Ｐゴシック"/>
                <w:color w:val="000000"/>
                <w:kern w:val="0"/>
                <w:sz w:val="20"/>
              </w:rPr>
            </w:pPr>
            <w:r w:rsidRPr="004E340E">
              <w:rPr>
                <w:rFonts w:ascii="HGPｺﾞｼｯｸE" w:eastAsia="HGPｺﾞｼｯｸE" w:hAnsi="HGPｺﾞｼｯｸE" w:cs="ＭＳ Ｐゴシック" w:hint="eastAsia"/>
                <w:color w:val="000000"/>
                <w:kern w:val="0"/>
                <w:sz w:val="20"/>
              </w:rPr>
              <w:t>件数</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4E340E" w:rsidRPr="004E340E" w:rsidRDefault="007B1E9E" w:rsidP="004E340E">
            <w:pPr>
              <w:widowControl/>
              <w:jc w:val="center"/>
              <w:rPr>
                <w:rFonts w:ascii="HGPｺﾞｼｯｸE" w:eastAsia="HGPｺﾞｼｯｸE" w:hAnsi="HGPｺﾞｼｯｸE" w:cs="ＭＳ Ｐゴシック"/>
                <w:color w:val="000000"/>
                <w:kern w:val="0"/>
                <w:sz w:val="20"/>
              </w:rPr>
            </w:pPr>
            <w:r w:rsidRPr="007B1E9E">
              <w:rPr>
                <w:rFonts w:asciiTheme="minorEastAsia" w:hAnsiTheme="minorEastAsia"/>
                <w:noProof/>
              </w:rPr>
              <mc:AlternateContent>
                <mc:Choice Requires="wps">
                  <w:drawing>
                    <wp:anchor distT="0" distB="0" distL="114300" distR="114300" simplePos="0" relativeHeight="251659264" behindDoc="0" locked="0" layoutInCell="1" allowOverlap="1" wp14:anchorId="2809D649" wp14:editId="1C6E6392">
                      <wp:simplePos x="0" y="0"/>
                      <wp:positionH relativeFrom="column">
                        <wp:posOffset>760730</wp:posOffset>
                      </wp:positionH>
                      <wp:positionV relativeFrom="paragraph">
                        <wp:posOffset>46990</wp:posOffset>
                      </wp:positionV>
                      <wp:extent cx="3333750" cy="27717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771775"/>
                              </a:xfrm>
                              <a:prstGeom prst="rect">
                                <a:avLst/>
                              </a:prstGeom>
                              <a:solidFill>
                                <a:srgbClr val="FFFFFF"/>
                              </a:solidFill>
                              <a:ln w="9525">
                                <a:noFill/>
                                <a:miter lim="800000"/>
                                <a:headEnd/>
                                <a:tailEnd/>
                              </a:ln>
                            </wps:spPr>
                            <wps:txbx>
                              <w:txbxContent>
                                <w:p w:rsidR="003971F6" w:rsidRDefault="003971F6">
                                  <w:r>
                                    <w:rPr>
                                      <w:noProof/>
                                    </w:rPr>
                                    <w:drawing>
                                      <wp:inline distT="0" distB="0" distL="0" distR="0" wp14:anchorId="7EF20BB0" wp14:editId="26B765E3">
                                        <wp:extent cx="3238500" cy="27051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9pt;margin-top:3.7pt;width:262.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" stroked="f">
                      <v:textbox>
                        <w:txbxContent>
                          <w:p w:rsidR="003971F6" w:rsidRDefault="003971F6">
                            <w:r>
                              <w:rPr>
                                <w:noProof/>
                              </w:rPr>
                              <w:drawing>
                                <wp:inline distT="0" distB="0" distL="0" distR="0" wp14:anchorId="7EF20BB0" wp14:editId="26B765E3">
                                  <wp:extent cx="3238500" cy="27051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mc:Fallback>
              </mc:AlternateContent>
            </w:r>
            <w:r w:rsidR="004E340E" w:rsidRPr="004E340E">
              <w:rPr>
                <w:rFonts w:ascii="HGPｺﾞｼｯｸE" w:eastAsia="HGPｺﾞｼｯｸE" w:hAnsi="HGPｺﾞｼｯｸE" w:cs="ＭＳ Ｐゴシック" w:hint="eastAsia"/>
                <w:color w:val="000000"/>
                <w:kern w:val="0"/>
                <w:sz w:val="20"/>
              </w:rPr>
              <w:t>率（％）</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①製造業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209</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13.1%</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②卸・小売業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428</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26.8%</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③建設業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293</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18.3%</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④飲食業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123</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7.7%</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⑤理美容業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116</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7.3%</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⑥宿泊業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45</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2.8%</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⑦不動産業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24</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1.5%</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⑧医療・福祉業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40</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2.5%</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lef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⑨その他サービス業</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319</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M" w:eastAsia="HGPｺﾞｼｯｸM" w:hAnsi="ＭＳ Ｐゴシック" w:cs="ＭＳ Ｐゴシック"/>
                <w:color w:val="000000"/>
                <w:kern w:val="0"/>
                <w:sz w:val="20"/>
              </w:rPr>
            </w:pPr>
            <w:r w:rsidRPr="004E340E">
              <w:rPr>
                <w:rFonts w:ascii="HGPｺﾞｼｯｸM" w:eastAsia="HGPｺﾞｼｯｸM" w:hAnsi="ＭＳ Ｐゴシック" w:cs="ＭＳ Ｐゴシック" w:hint="eastAsia"/>
                <w:color w:val="000000"/>
                <w:kern w:val="0"/>
                <w:sz w:val="20"/>
              </w:rPr>
              <w:t>20.0%</w:t>
            </w:r>
          </w:p>
        </w:tc>
      </w:tr>
      <w:tr w:rsidR="004E340E" w:rsidRPr="004E340E" w:rsidTr="007B1E9E">
        <w:trPr>
          <w:trHeight w:val="402"/>
        </w:trPr>
        <w:tc>
          <w:tcPr>
            <w:tcW w:w="2038" w:type="dxa"/>
            <w:tcBorders>
              <w:top w:val="nil"/>
              <w:left w:val="single" w:sz="4" w:space="0" w:color="auto"/>
              <w:bottom w:val="single" w:sz="4" w:space="0" w:color="auto"/>
              <w:right w:val="single" w:sz="4" w:space="0" w:color="auto"/>
            </w:tcBorders>
            <w:shd w:val="clear" w:color="auto" w:fill="auto"/>
            <w:noWrap/>
            <w:vAlign w:val="center"/>
            <w:hideMark/>
          </w:tcPr>
          <w:p w:rsidR="004E340E" w:rsidRPr="004E340E" w:rsidRDefault="004E340E" w:rsidP="004E340E">
            <w:pPr>
              <w:widowControl/>
              <w:jc w:val="center"/>
              <w:rPr>
                <w:rFonts w:ascii="HGPｺﾞｼｯｸE" w:eastAsia="HGPｺﾞｼｯｸE" w:hAnsi="HGPｺﾞｼｯｸE" w:cs="ＭＳ Ｐゴシック"/>
                <w:color w:val="000000"/>
                <w:kern w:val="0"/>
                <w:sz w:val="20"/>
              </w:rPr>
            </w:pPr>
            <w:r w:rsidRPr="004E340E">
              <w:rPr>
                <w:rFonts w:ascii="HGPｺﾞｼｯｸE" w:eastAsia="HGPｺﾞｼｯｸE" w:hAnsi="HGPｺﾞｼｯｸE" w:cs="ＭＳ Ｐゴシック" w:hint="eastAsia"/>
                <w:color w:val="000000"/>
                <w:kern w:val="0"/>
                <w:sz w:val="20"/>
              </w:rPr>
              <w:t>合計</w:t>
            </w:r>
          </w:p>
        </w:tc>
        <w:tc>
          <w:tcPr>
            <w:tcW w:w="856"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E" w:eastAsia="HGPｺﾞｼｯｸE" w:hAnsi="HGPｺﾞｼｯｸE" w:cs="ＭＳ Ｐゴシック"/>
                <w:color w:val="000000"/>
                <w:kern w:val="0"/>
                <w:sz w:val="20"/>
              </w:rPr>
            </w:pPr>
            <w:r w:rsidRPr="004E340E">
              <w:rPr>
                <w:rFonts w:ascii="HGPｺﾞｼｯｸE" w:eastAsia="HGPｺﾞｼｯｸE" w:hAnsi="HGPｺﾞｼｯｸE" w:cs="ＭＳ Ｐゴシック" w:hint="eastAsia"/>
                <w:color w:val="000000"/>
                <w:kern w:val="0"/>
                <w:sz w:val="20"/>
              </w:rPr>
              <w:t>1,597</w:t>
            </w:r>
          </w:p>
        </w:tc>
        <w:tc>
          <w:tcPr>
            <w:tcW w:w="978" w:type="dxa"/>
            <w:tcBorders>
              <w:top w:val="nil"/>
              <w:left w:val="nil"/>
              <w:bottom w:val="single" w:sz="4" w:space="0" w:color="auto"/>
              <w:right w:val="single" w:sz="4" w:space="0" w:color="auto"/>
            </w:tcBorders>
            <w:shd w:val="clear" w:color="auto" w:fill="auto"/>
            <w:noWrap/>
            <w:vAlign w:val="center"/>
            <w:hideMark/>
          </w:tcPr>
          <w:p w:rsidR="004E340E" w:rsidRPr="004E340E" w:rsidRDefault="004E340E" w:rsidP="004E340E">
            <w:pPr>
              <w:widowControl/>
              <w:jc w:val="right"/>
              <w:rPr>
                <w:rFonts w:ascii="HGPｺﾞｼｯｸE" w:eastAsia="HGPｺﾞｼｯｸE" w:hAnsi="HGPｺﾞｼｯｸE" w:cs="ＭＳ Ｐゴシック"/>
                <w:color w:val="000000"/>
                <w:kern w:val="0"/>
                <w:sz w:val="20"/>
              </w:rPr>
            </w:pPr>
            <w:r w:rsidRPr="004E340E">
              <w:rPr>
                <w:rFonts w:ascii="HGPｺﾞｼｯｸE" w:eastAsia="HGPｺﾞｼｯｸE" w:hAnsi="HGPｺﾞｼｯｸE" w:cs="ＭＳ Ｐゴシック" w:hint="eastAsia"/>
                <w:color w:val="000000"/>
                <w:kern w:val="0"/>
                <w:sz w:val="20"/>
              </w:rPr>
              <w:t>100.0%</w:t>
            </w:r>
          </w:p>
        </w:tc>
      </w:tr>
    </w:tbl>
    <w:p w:rsidR="00EC5ACA" w:rsidRDefault="00EC5ACA">
      <w:pPr>
        <w:rPr>
          <w:rFonts w:asciiTheme="minorEastAsia" w:hAnsiTheme="minorEastAsia" w:hint="eastAsia"/>
        </w:rPr>
      </w:pPr>
    </w:p>
    <w:p w:rsidR="007B1E9E" w:rsidRDefault="007B1E9E">
      <w:pPr>
        <w:rPr>
          <w:rFonts w:asciiTheme="minorEastAsia" w:hAnsiTheme="minorEastAsia"/>
        </w:rPr>
      </w:pPr>
    </w:p>
    <w:p w:rsidR="007B1E9E" w:rsidRDefault="007B1E9E">
      <w:pPr>
        <w:widowControl/>
        <w:jc w:val="left"/>
        <w:rPr>
          <w:rFonts w:asciiTheme="majorEastAsia" w:eastAsiaTheme="majorEastAsia" w:hAnsiTheme="majorEastAsia"/>
        </w:rPr>
      </w:pPr>
      <w:r>
        <w:rPr>
          <w:rFonts w:asciiTheme="majorEastAsia" w:eastAsiaTheme="majorEastAsia" w:hAnsiTheme="majorEastAsia"/>
        </w:rPr>
        <w:br w:type="page"/>
      </w:r>
    </w:p>
    <w:p w:rsidR="007857B5" w:rsidRPr="005D1759" w:rsidRDefault="00DB4DD0">
      <w:pPr>
        <w:rPr>
          <w:rFonts w:asciiTheme="majorEastAsia" w:eastAsiaTheme="majorEastAsia" w:hAnsiTheme="majorEastAsia"/>
          <w:sz w:val="20"/>
        </w:rPr>
      </w:pPr>
      <w:r w:rsidRPr="005D1759">
        <w:rPr>
          <w:rFonts w:asciiTheme="majorEastAsia" w:eastAsiaTheme="majorEastAsia" w:hAnsiTheme="majorEastAsia" w:hint="eastAsia"/>
          <w:sz w:val="20"/>
        </w:rPr>
        <w:lastRenderedPageBreak/>
        <w:t>表1-2.</w:t>
      </w:r>
      <w:r w:rsidR="003C4F60" w:rsidRPr="005D1759">
        <w:rPr>
          <w:rFonts w:asciiTheme="majorEastAsia" w:eastAsiaTheme="majorEastAsia" w:hAnsiTheme="majorEastAsia" w:hint="eastAsia"/>
          <w:sz w:val="20"/>
        </w:rPr>
        <w:t>＜</w:t>
      </w:r>
      <w:r w:rsidR="00684E0C" w:rsidRPr="005D1759">
        <w:rPr>
          <w:rFonts w:asciiTheme="majorEastAsia" w:eastAsiaTheme="majorEastAsia" w:hAnsiTheme="majorEastAsia" w:hint="eastAsia"/>
          <w:sz w:val="20"/>
        </w:rPr>
        <w:t>参考</w:t>
      </w:r>
      <w:r w:rsidR="003C4F60" w:rsidRPr="005D1759">
        <w:rPr>
          <w:rFonts w:asciiTheme="majorEastAsia" w:eastAsiaTheme="majorEastAsia" w:hAnsiTheme="majorEastAsia" w:hint="eastAsia"/>
          <w:sz w:val="20"/>
        </w:rPr>
        <w:t>＞</w:t>
      </w:r>
      <w:r w:rsidR="00EC5ACA" w:rsidRPr="005D1759">
        <w:rPr>
          <w:rFonts w:ascii="ＭＳ Ｐゴシック" w:eastAsia="ＭＳ Ｐゴシック" w:hAnsi="ＭＳ Ｐゴシック" w:cs="ＭＳ Ｐゴシック" w:hint="eastAsia"/>
          <w:color w:val="000000"/>
          <w:kern w:val="0"/>
        </w:rPr>
        <w:t xml:space="preserve"> いわき市産業大分類別事業所数</w:t>
      </w:r>
      <w:r w:rsidR="003C4F60" w:rsidRPr="005D1759">
        <w:rPr>
          <w:rFonts w:ascii="ＭＳ Ｐゴシック" w:eastAsia="ＭＳ Ｐゴシック" w:hAnsi="ＭＳ Ｐゴシック" w:cs="ＭＳ Ｐゴシック" w:hint="eastAsia"/>
          <w:color w:val="000000"/>
          <w:kern w:val="0"/>
        </w:rPr>
        <w:t>（平成26年度）</w:t>
      </w:r>
    </w:p>
    <w:tbl>
      <w:tblPr>
        <w:tblW w:w="5776" w:type="dxa"/>
        <w:tblInd w:w="84"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938"/>
        <w:gridCol w:w="919"/>
        <w:gridCol w:w="919"/>
      </w:tblGrid>
      <w:tr w:rsidR="003C4F60" w:rsidRPr="00EC5ACA" w:rsidTr="007B1E9E">
        <w:trPr>
          <w:trHeight w:val="270"/>
        </w:trPr>
        <w:tc>
          <w:tcPr>
            <w:tcW w:w="3938" w:type="dxa"/>
            <w:tcBorders>
              <w:right w:val="single" w:sz="4" w:space="0" w:color="auto"/>
            </w:tcBorders>
            <w:shd w:val="clear" w:color="4F81BD" w:fill="auto"/>
            <w:noWrap/>
            <w:vAlign w:val="center"/>
            <w:hideMark/>
          </w:tcPr>
          <w:p w:rsidR="003C4F60" w:rsidRPr="00EC5ACA" w:rsidRDefault="003C4F60" w:rsidP="00EC5ACA">
            <w:pPr>
              <w:widowControl/>
              <w:jc w:val="left"/>
              <w:rPr>
                <w:rFonts w:ascii="ＭＳ Ｐゴシック" w:eastAsia="ＭＳ Ｐゴシック" w:hAnsi="ＭＳ Ｐゴシック" w:cs="ＭＳ Ｐゴシック"/>
                <w:b/>
                <w:bCs/>
                <w:kern w:val="0"/>
                <w:sz w:val="20"/>
              </w:rPr>
            </w:pPr>
            <w:r w:rsidRPr="00EC5ACA">
              <w:rPr>
                <w:rFonts w:ascii="ＭＳ Ｐゴシック" w:eastAsia="ＭＳ Ｐゴシック" w:hAnsi="ＭＳ Ｐゴシック" w:cs="ＭＳ Ｐゴシック" w:hint="eastAsia"/>
                <w:b/>
                <w:bCs/>
                <w:kern w:val="0"/>
                <w:sz w:val="20"/>
              </w:rPr>
              <w:t>産業</w:t>
            </w:r>
            <w:r>
              <w:rPr>
                <w:rFonts w:ascii="ＭＳ Ｐゴシック" w:eastAsia="ＭＳ Ｐゴシック" w:hAnsi="ＭＳ Ｐゴシック" w:cs="ＭＳ Ｐゴシック" w:hint="eastAsia"/>
                <w:b/>
                <w:bCs/>
                <w:kern w:val="0"/>
                <w:sz w:val="20"/>
              </w:rPr>
              <w:t>大</w:t>
            </w:r>
            <w:r w:rsidRPr="00EC5ACA">
              <w:rPr>
                <w:rFonts w:ascii="ＭＳ Ｐゴシック" w:eastAsia="ＭＳ Ｐゴシック" w:hAnsi="ＭＳ Ｐゴシック" w:cs="ＭＳ Ｐゴシック" w:hint="eastAsia"/>
                <w:b/>
                <w:bCs/>
                <w:kern w:val="0"/>
                <w:sz w:val="20"/>
              </w:rPr>
              <w:t>分類</w:t>
            </w:r>
          </w:p>
        </w:tc>
        <w:tc>
          <w:tcPr>
            <w:tcW w:w="919" w:type="dxa"/>
            <w:tcBorders>
              <w:left w:val="single" w:sz="4" w:space="0" w:color="auto"/>
              <w:right w:val="single" w:sz="4" w:space="0" w:color="auto"/>
            </w:tcBorders>
            <w:shd w:val="clear" w:color="4F81BD" w:fill="auto"/>
            <w:noWrap/>
            <w:vAlign w:val="center"/>
            <w:hideMark/>
          </w:tcPr>
          <w:p w:rsidR="003C4F60" w:rsidRPr="00EC5ACA" w:rsidRDefault="003C4F60" w:rsidP="00EC5ACA">
            <w:pPr>
              <w:widowControl/>
              <w:jc w:val="left"/>
              <w:rPr>
                <w:rFonts w:ascii="ＭＳ Ｐゴシック" w:eastAsia="ＭＳ Ｐゴシック" w:hAnsi="ＭＳ Ｐゴシック" w:cs="ＭＳ Ｐゴシック"/>
                <w:b/>
                <w:bCs/>
                <w:kern w:val="0"/>
                <w:sz w:val="18"/>
              </w:rPr>
            </w:pPr>
            <w:r w:rsidRPr="00857765">
              <w:rPr>
                <w:rFonts w:ascii="ＭＳ Ｐゴシック" w:eastAsia="ＭＳ Ｐゴシック" w:hAnsi="ＭＳ Ｐゴシック" w:cs="ＭＳ Ｐゴシック" w:hint="eastAsia"/>
                <w:b/>
                <w:bCs/>
                <w:kern w:val="0"/>
                <w:sz w:val="20"/>
              </w:rPr>
              <w:t>数</w:t>
            </w:r>
          </w:p>
        </w:tc>
        <w:tc>
          <w:tcPr>
            <w:tcW w:w="919" w:type="dxa"/>
            <w:tcBorders>
              <w:left w:val="single" w:sz="4" w:space="0" w:color="auto"/>
            </w:tcBorders>
            <w:shd w:val="clear" w:color="4F81BD" w:fill="auto"/>
          </w:tcPr>
          <w:p w:rsidR="003C4F60" w:rsidRPr="00857765" w:rsidRDefault="003C4F60" w:rsidP="00916CCB">
            <w:pPr>
              <w:widowControl/>
              <w:jc w:val="right"/>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率</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農業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25</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0.2%</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林業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13</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0.1%</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漁業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14</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0.1%</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鉱業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17</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0.1%</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建設業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1,434</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9.7%</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製造業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1,168</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7.9%</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szCs w:val="14"/>
              </w:rPr>
              <w:t xml:space="preserve">電気･ｶﾞｽ･熱供給･水道業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36</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0.2%</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情報通信業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79</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0.5%</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運輸業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269</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1.8%</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卸売・小売業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4,322</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29.2%</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金融・保険業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274</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1.9%</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不動産業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296</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2.0%</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飲食店、宿泊業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1,996</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13.5%</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rPr>
              <w:t xml:space="preserve">医療、福祉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884</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6.0%</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szCs w:val="20"/>
              </w:rPr>
              <w:t xml:space="preserve">教育、学習支援業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672</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4.5%</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684E0C">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szCs w:val="20"/>
              </w:rPr>
              <w:t xml:space="preserve">複合サービス事業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157</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1.1%</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684E0C" w:rsidRDefault="003C4F60" w:rsidP="007B1E9E">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szCs w:val="20"/>
              </w:rPr>
              <w:t>サービス業</w:t>
            </w:r>
            <w:r w:rsidRPr="00684E0C">
              <w:rPr>
                <w:rFonts w:ascii="ＭＳ Ｐゴシック" w:eastAsia="ＭＳ Ｐゴシック" w:hAnsi="ＭＳ Ｐゴシック" w:cs="ＭＳ Ｐゴシック" w:hint="eastAsia"/>
                <w:color w:val="000000"/>
                <w:kern w:val="0"/>
                <w:sz w:val="20"/>
                <w:szCs w:val="14"/>
              </w:rPr>
              <w:t xml:space="preserve">(他に分類されないもの)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3,047</w:t>
            </w:r>
          </w:p>
        </w:tc>
        <w:tc>
          <w:tcPr>
            <w:tcW w:w="919" w:type="dxa"/>
            <w:tcBorders>
              <w:left w:val="single" w:sz="4" w:space="0" w:color="auto"/>
            </w:tcBorders>
            <w:shd w:val="clear" w:color="DCE6F1" w:fill="auto"/>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20.6%</w:t>
            </w:r>
          </w:p>
        </w:tc>
      </w:tr>
      <w:tr w:rsidR="003C4F60" w:rsidRPr="00EC5ACA" w:rsidTr="007B1E9E">
        <w:trPr>
          <w:trHeight w:val="270"/>
        </w:trPr>
        <w:tc>
          <w:tcPr>
            <w:tcW w:w="3938" w:type="dxa"/>
            <w:tcBorders>
              <w:right w:val="single" w:sz="4" w:space="0" w:color="auto"/>
            </w:tcBorders>
            <w:shd w:val="clear" w:color="auto" w:fill="auto"/>
            <w:noWrap/>
            <w:vAlign w:val="center"/>
            <w:hideMark/>
          </w:tcPr>
          <w:p w:rsidR="003C4F60" w:rsidRPr="00684E0C" w:rsidRDefault="003C4F60" w:rsidP="007B1E9E">
            <w:pPr>
              <w:pStyle w:val="a7"/>
              <w:widowControl/>
              <w:numPr>
                <w:ilvl w:val="0"/>
                <w:numId w:val="24"/>
              </w:numPr>
              <w:ind w:leftChars="0"/>
              <w:jc w:val="left"/>
              <w:rPr>
                <w:rFonts w:ascii="ＭＳ Ｐゴシック" w:eastAsia="ＭＳ Ｐゴシック" w:hAnsi="ＭＳ Ｐゴシック" w:cs="ＭＳ Ｐゴシック"/>
                <w:kern w:val="0"/>
                <w:sz w:val="20"/>
              </w:rPr>
            </w:pPr>
            <w:r w:rsidRPr="00684E0C">
              <w:rPr>
                <w:rFonts w:ascii="ＭＳ Ｐゴシック" w:eastAsia="ＭＳ Ｐゴシック" w:hAnsi="ＭＳ Ｐゴシック" w:cs="ＭＳ Ｐゴシック" w:hint="eastAsia"/>
                <w:color w:val="000000"/>
                <w:kern w:val="0"/>
                <w:sz w:val="20"/>
                <w:szCs w:val="20"/>
              </w:rPr>
              <w:t>公務</w:t>
            </w:r>
            <w:r w:rsidRPr="00684E0C">
              <w:rPr>
                <w:rFonts w:ascii="ＭＳ Ｐゴシック" w:eastAsia="ＭＳ Ｐゴシック" w:hAnsi="ＭＳ Ｐゴシック" w:cs="ＭＳ Ｐゴシック" w:hint="eastAsia"/>
                <w:color w:val="000000"/>
                <w:kern w:val="0"/>
                <w:sz w:val="20"/>
                <w:szCs w:val="14"/>
              </w:rPr>
              <w:t xml:space="preserve">(他に分類されないもの) </w:t>
            </w:r>
            <w:r w:rsidRPr="00684E0C">
              <w:rPr>
                <w:rFonts w:ascii="ＭＳ Ｐゴシック" w:eastAsia="ＭＳ Ｐゴシック" w:hAnsi="ＭＳ Ｐゴシック" w:cs="ＭＳ Ｐゴシック" w:hint="eastAsia"/>
                <w:kern w:val="0"/>
                <w:sz w:val="20"/>
              </w:rPr>
              <w:t xml:space="preserve"> </w:t>
            </w:r>
          </w:p>
        </w:tc>
        <w:tc>
          <w:tcPr>
            <w:tcW w:w="919" w:type="dxa"/>
            <w:tcBorders>
              <w:left w:val="single" w:sz="4" w:space="0" w:color="auto"/>
              <w:right w:val="single" w:sz="4" w:space="0" w:color="auto"/>
            </w:tcBorders>
            <w:shd w:val="clear" w:color="auto"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kern w:val="0"/>
                <w:sz w:val="20"/>
              </w:rPr>
            </w:pPr>
            <w:r w:rsidRPr="00EC5ACA">
              <w:rPr>
                <w:rFonts w:ascii="ＭＳ Ｐゴシック" w:eastAsia="ＭＳ Ｐゴシック" w:hAnsi="ＭＳ Ｐゴシック" w:cs="ＭＳ Ｐゴシック" w:hint="eastAsia"/>
                <w:kern w:val="0"/>
                <w:sz w:val="20"/>
              </w:rPr>
              <w:t>106</w:t>
            </w:r>
          </w:p>
        </w:tc>
        <w:tc>
          <w:tcPr>
            <w:tcW w:w="919" w:type="dxa"/>
            <w:tcBorders>
              <w:left w:val="single" w:sz="4" w:space="0" w:color="auto"/>
            </w:tcBorders>
          </w:tcPr>
          <w:p w:rsidR="003C4F60" w:rsidRPr="003C4F60" w:rsidRDefault="003C4F60" w:rsidP="00916CCB">
            <w:pPr>
              <w:jc w:val="right"/>
              <w:rPr>
                <w:rFonts w:ascii="ＭＳ Ｐゴシック" w:eastAsia="ＭＳ Ｐゴシック" w:hAnsi="ＭＳ Ｐゴシック"/>
                <w:sz w:val="20"/>
              </w:rPr>
            </w:pPr>
            <w:r w:rsidRPr="003C4F60">
              <w:rPr>
                <w:rFonts w:ascii="ＭＳ Ｐゴシック" w:eastAsia="ＭＳ Ｐゴシック" w:hAnsi="ＭＳ Ｐゴシック"/>
                <w:sz w:val="20"/>
              </w:rPr>
              <w:t>0.7%</w:t>
            </w:r>
          </w:p>
        </w:tc>
      </w:tr>
      <w:tr w:rsidR="003C4F60" w:rsidRPr="00EC5ACA" w:rsidTr="007B1E9E">
        <w:trPr>
          <w:trHeight w:val="270"/>
        </w:trPr>
        <w:tc>
          <w:tcPr>
            <w:tcW w:w="3938" w:type="dxa"/>
            <w:tcBorders>
              <w:right w:val="single" w:sz="4" w:space="0" w:color="auto"/>
            </w:tcBorders>
            <w:shd w:val="clear" w:color="DCE6F1" w:fill="auto"/>
            <w:noWrap/>
            <w:vAlign w:val="center"/>
            <w:hideMark/>
          </w:tcPr>
          <w:p w:rsidR="003C4F60" w:rsidRPr="00EC5ACA" w:rsidRDefault="003C4F60" w:rsidP="00916CCB">
            <w:pPr>
              <w:widowControl/>
              <w:jc w:val="center"/>
              <w:rPr>
                <w:rFonts w:ascii="ＭＳ Ｐゴシック" w:eastAsia="ＭＳ Ｐゴシック" w:hAnsi="ＭＳ Ｐゴシック" w:cs="ＭＳ Ｐゴシック"/>
                <w:b/>
                <w:color w:val="000000"/>
                <w:kern w:val="0"/>
                <w:sz w:val="20"/>
              </w:rPr>
            </w:pPr>
            <w:r w:rsidRPr="00EC5ACA">
              <w:rPr>
                <w:rFonts w:ascii="ＭＳ Ｐゴシック" w:eastAsia="ＭＳ Ｐゴシック" w:hAnsi="ＭＳ Ｐゴシック" w:cs="ＭＳ Ｐゴシック" w:hint="eastAsia"/>
                <w:b/>
                <w:color w:val="000000"/>
                <w:kern w:val="0"/>
                <w:sz w:val="20"/>
              </w:rPr>
              <w:t>総数</w:t>
            </w:r>
          </w:p>
        </w:tc>
        <w:tc>
          <w:tcPr>
            <w:tcW w:w="919" w:type="dxa"/>
            <w:tcBorders>
              <w:left w:val="single" w:sz="4" w:space="0" w:color="auto"/>
              <w:right w:val="single" w:sz="4" w:space="0" w:color="auto"/>
            </w:tcBorders>
            <w:shd w:val="clear" w:color="DCE6F1" w:fill="auto"/>
            <w:noWrap/>
            <w:vAlign w:val="center"/>
            <w:hideMark/>
          </w:tcPr>
          <w:p w:rsidR="003C4F60" w:rsidRPr="00EC5ACA" w:rsidRDefault="003C4F60" w:rsidP="00EC5ACA">
            <w:pPr>
              <w:widowControl/>
              <w:jc w:val="right"/>
              <w:rPr>
                <w:rFonts w:ascii="ＭＳ Ｐゴシック" w:eastAsia="ＭＳ Ｐゴシック" w:hAnsi="ＭＳ Ｐゴシック" w:cs="ＭＳ Ｐゴシック"/>
                <w:b/>
                <w:color w:val="000000"/>
                <w:kern w:val="0"/>
                <w:sz w:val="20"/>
              </w:rPr>
            </w:pPr>
            <w:r w:rsidRPr="00EC5ACA">
              <w:rPr>
                <w:rFonts w:ascii="ＭＳ Ｐゴシック" w:eastAsia="ＭＳ Ｐゴシック" w:hAnsi="ＭＳ Ｐゴシック" w:cs="ＭＳ Ｐゴシック" w:hint="eastAsia"/>
                <w:b/>
                <w:color w:val="000000"/>
                <w:kern w:val="0"/>
                <w:sz w:val="20"/>
              </w:rPr>
              <w:t>14,809</w:t>
            </w:r>
          </w:p>
        </w:tc>
        <w:tc>
          <w:tcPr>
            <w:tcW w:w="919" w:type="dxa"/>
            <w:tcBorders>
              <w:left w:val="single" w:sz="4" w:space="0" w:color="auto"/>
            </w:tcBorders>
            <w:shd w:val="clear" w:color="DCE6F1" w:fill="auto"/>
          </w:tcPr>
          <w:p w:rsidR="003C4F60" w:rsidRPr="00916CCB" w:rsidRDefault="003C4F60" w:rsidP="00916CCB">
            <w:pPr>
              <w:jc w:val="right"/>
              <w:rPr>
                <w:rFonts w:ascii="ＭＳ Ｐゴシック" w:eastAsia="ＭＳ Ｐゴシック" w:hAnsi="ＭＳ Ｐゴシック"/>
                <w:b/>
                <w:sz w:val="20"/>
              </w:rPr>
            </w:pPr>
            <w:r w:rsidRPr="00916CCB">
              <w:rPr>
                <w:rFonts w:ascii="ＭＳ Ｐゴシック" w:eastAsia="ＭＳ Ｐゴシック" w:hAnsi="ＭＳ Ｐゴシック"/>
                <w:b/>
                <w:sz w:val="20"/>
              </w:rPr>
              <w:t>1</w:t>
            </w:r>
            <w:r w:rsidR="00916CCB" w:rsidRPr="00916CCB">
              <w:rPr>
                <w:rFonts w:ascii="ＭＳ Ｐゴシック" w:eastAsia="ＭＳ Ｐゴシック" w:hAnsi="ＭＳ Ｐゴシック" w:hint="eastAsia"/>
                <w:b/>
                <w:sz w:val="20"/>
              </w:rPr>
              <w:t>00%</w:t>
            </w:r>
          </w:p>
        </w:tc>
      </w:tr>
    </w:tbl>
    <w:p w:rsidR="00EC5ACA" w:rsidRDefault="00EC5ACA">
      <w:pPr>
        <w:rPr>
          <w:rFonts w:asciiTheme="minorEastAsia" w:hAnsiTheme="minorEastAsia"/>
          <w:noProof/>
        </w:rPr>
      </w:pPr>
    </w:p>
    <w:p w:rsidR="003C4F60" w:rsidRDefault="003C4F60">
      <w:pPr>
        <w:rPr>
          <w:rFonts w:asciiTheme="minorEastAsia" w:hAnsiTheme="minorEastAsia" w:hint="eastAsia"/>
          <w:noProof/>
        </w:rPr>
      </w:pPr>
    </w:p>
    <w:p w:rsidR="00EF2B96" w:rsidRPr="00271BA6" w:rsidRDefault="00EF2B96">
      <w:pPr>
        <w:rPr>
          <w:rFonts w:asciiTheme="minorEastAsia" w:hAnsiTheme="minorEastAsia"/>
          <w:noProof/>
        </w:rPr>
      </w:pPr>
    </w:p>
    <w:p w:rsidR="0028376D" w:rsidRDefault="00E0772D">
      <w:pPr>
        <w:rPr>
          <w:rFonts w:asciiTheme="majorEastAsia" w:eastAsiaTheme="majorEastAsia" w:hAnsiTheme="majorEastAsia"/>
          <w:sz w:val="22"/>
        </w:rPr>
      </w:pPr>
      <w:r w:rsidRPr="00E0772D">
        <w:rPr>
          <w:rFonts w:asciiTheme="majorEastAsia" w:eastAsiaTheme="majorEastAsia" w:hAnsiTheme="majorEastAsia" w:hint="eastAsia"/>
          <w:sz w:val="22"/>
        </w:rPr>
        <w:t>2.</w:t>
      </w:r>
      <w:r w:rsidR="0028376D" w:rsidRPr="0028376D">
        <w:rPr>
          <w:rFonts w:hint="eastAsia"/>
        </w:rPr>
        <w:t xml:space="preserve"> </w:t>
      </w:r>
      <w:r w:rsidR="0028376D" w:rsidRPr="0028376D">
        <w:rPr>
          <w:rFonts w:asciiTheme="majorEastAsia" w:eastAsiaTheme="majorEastAsia" w:hAnsiTheme="majorEastAsia" w:hint="eastAsia"/>
          <w:sz w:val="22"/>
        </w:rPr>
        <w:t>経営状況</w:t>
      </w:r>
      <w:r w:rsidR="001D4C43">
        <w:rPr>
          <w:rFonts w:asciiTheme="majorEastAsia" w:eastAsiaTheme="majorEastAsia" w:hAnsiTheme="majorEastAsia" w:hint="eastAsia"/>
          <w:sz w:val="22"/>
        </w:rPr>
        <w:t>について</w:t>
      </w:r>
    </w:p>
    <w:p w:rsidR="0028376D" w:rsidRDefault="0028376D">
      <w:pPr>
        <w:rPr>
          <w:rFonts w:asciiTheme="minorEastAsia" w:hAnsiTheme="minorEastAsia"/>
        </w:rPr>
      </w:pPr>
    </w:p>
    <w:p w:rsidR="0028376D" w:rsidRDefault="0028376D">
      <w:pPr>
        <w:rPr>
          <w:rFonts w:asciiTheme="minorEastAsia" w:hAnsiTheme="minorEastAsia"/>
        </w:rPr>
      </w:pPr>
      <w:r>
        <w:rPr>
          <w:rFonts w:asciiTheme="minorEastAsia" w:hAnsiTheme="minorEastAsia" w:hint="eastAsia"/>
        </w:rPr>
        <w:t xml:space="preserve">　現在の経営状況について、前年と比較して、</w:t>
      </w:r>
      <w:r w:rsidR="00225FF3">
        <w:rPr>
          <w:rFonts w:asciiTheme="minorEastAsia" w:hAnsiTheme="minorEastAsia" w:hint="eastAsia"/>
        </w:rPr>
        <w:t>「</w:t>
      </w:r>
      <w:r>
        <w:rPr>
          <w:rFonts w:asciiTheme="minorEastAsia" w:hAnsiTheme="minorEastAsia" w:hint="eastAsia"/>
        </w:rPr>
        <w:t>売上</w:t>
      </w:r>
      <w:r w:rsidR="00225FF3">
        <w:rPr>
          <w:rFonts w:asciiTheme="minorEastAsia" w:hAnsiTheme="minorEastAsia" w:hint="eastAsia"/>
        </w:rPr>
        <w:t>・採算」</w:t>
      </w:r>
      <w:r>
        <w:rPr>
          <w:rFonts w:asciiTheme="minorEastAsia" w:hAnsiTheme="minorEastAsia" w:hint="eastAsia"/>
        </w:rPr>
        <w:t>および</w:t>
      </w:r>
      <w:r w:rsidR="00225FF3">
        <w:rPr>
          <w:rFonts w:asciiTheme="minorEastAsia" w:hAnsiTheme="minorEastAsia" w:hint="eastAsia"/>
        </w:rPr>
        <w:t>「</w:t>
      </w:r>
      <w:r>
        <w:rPr>
          <w:rFonts w:asciiTheme="minorEastAsia" w:hAnsiTheme="minorEastAsia" w:hint="eastAsia"/>
        </w:rPr>
        <w:t>資金繰り</w:t>
      </w:r>
      <w:r w:rsidR="00225FF3">
        <w:rPr>
          <w:rFonts w:asciiTheme="minorEastAsia" w:hAnsiTheme="minorEastAsia" w:hint="eastAsia"/>
        </w:rPr>
        <w:t>」</w:t>
      </w:r>
      <w:r>
        <w:rPr>
          <w:rFonts w:asciiTheme="minorEastAsia" w:hAnsiTheme="minorEastAsia" w:hint="eastAsia"/>
        </w:rPr>
        <w:t>とも「変化なし」「普通」とした事業所が6～7割と最も多く、震災から5年を経過し、概ね落ち着いた状況にある事業所が多くなっていると言える。ただし、売上および資金繰りとも「良い」の回答を「悪い」の回答が大きく上回っており、全体としては悪化の方向に向かっていることが読み取れる。</w:t>
      </w:r>
    </w:p>
    <w:p w:rsidR="0028376D" w:rsidRDefault="0028376D">
      <w:pPr>
        <w:rPr>
          <w:rFonts w:asciiTheme="minorEastAsia" w:hAnsiTheme="minorEastAsia"/>
        </w:rPr>
      </w:pPr>
      <w:r>
        <w:rPr>
          <w:rFonts w:asciiTheme="minorEastAsia" w:hAnsiTheme="minorEastAsia" w:hint="eastAsia"/>
        </w:rPr>
        <w:t xml:space="preserve">　</w:t>
      </w:r>
      <w:r w:rsidR="00F370D6">
        <w:rPr>
          <w:rFonts w:asciiTheme="minorEastAsia" w:hAnsiTheme="minorEastAsia" w:hint="eastAsia"/>
        </w:rPr>
        <w:t>一方、東京電力からの原発補償金を受けている事業所は16.2％であり、ほとんどの事業所が</w:t>
      </w:r>
      <w:r w:rsidR="000973F5">
        <w:rPr>
          <w:rFonts w:asciiTheme="minorEastAsia" w:hAnsiTheme="minorEastAsia" w:hint="eastAsia"/>
        </w:rPr>
        <w:t>現在は</w:t>
      </w:r>
      <w:r w:rsidR="00F370D6">
        <w:rPr>
          <w:rFonts w:asciiTheme="minorEastAsia" w:hAnsiTheme="minorEastAsia" w:hint="eastAsia"/>
        </w:rPr>
        <w:t>自力経営になっていることが分かる</w:t>
      </w:r>
      <w:r w:rsidR="005D1759">
        <w:rPr>
          <w:rFonts w:asciiTheme="minorEastAsia" w:hAnsiTheme="minorEastAsia" w:hint="eastAsia"/>
        </w:rPr>
        <w:t>（宿泊業除く）</w:t>
      </w:r>
      <w:r w:rsidR="00F370D6">
        <w:rPr>
          <w:rFonts w:asciiTheme="minorEastAsia" w:hAnsiTheme="minorEastAsia" w:hint="eastAsia"/>
        </w:rPr>
        <w:t>。</w:t>
      </w:r>
    </w:p>
    <w:p w:rsidR="00F370D6" w:rsidRDefault="00F370D6">
      <w:pPr>
        <w:rPr>
          <w:rFonts w:asciiTheme="minorEastAsia" w:hAnsiTheme="minorEastAsia"/>
        </w:rPr>
      </w:pPr>
      <w:r>
        <w:rPr>
          <w:rFonts w:asciiTheme="minorEastAsia" w:hAnsiTheme="minorEastAsia" w:hint="eastAsia"/>
        </w:rPr>
        <w:t xml:space="preserve">　</w:t>
      </w:r>
      <w:r w:rsidR="001F2B97">
        <w:rPr>
          <w:rFonts w:asciiTheme="minorEastAsia" w:hAnsiTheme="minorEastAsia" w:hint="eastAsia"/>
        </w:rPr>
        <w:t>業種別にみると、とくに</w:t>
      </w:r>
      <w:r w:rsidR="00225FF3">
        <w:rPr>
          <w:rFonts w:asciiTheme="minorEastAsia" w:hAnsiTheme="minorEastAsia" w:hint="eastAsia"/>
        </w:rPr>
        <w:t>「売上・採算」で</w:t>
      </w:r>
      <w:r w:rsidR="001F2B97">
        <w:rPr>
          <w:rFonts w:asciiTheme="minorEastAsia" w:hAnsiTheme="minorEastAsia" w:hint="eastAsia"/>
        </w:rPr>
        <w:t>「悪化」</w:t>
      </w:r>
      <w:r w:rsidR="00225FF3">
        <w:rPr>
          <w:rFonts w:asciiTheme="minorEastAsia" w:hAnsiTheme="minorEastAsia" w:hint="eastAsia"/>
        </w:rPr>
        <w:t>の回答が多いのが</w:t>
      </w:r>
      <w:r w:rsidR="001F2B97">
        <w:rPr>
          <w:rFonts w:asciiTheme="minorEastAsia" w:hAnsiTheme="minorEastAsia" w:hint="eastAsia"/>
        </w:rPr>
        <w:t>「卸・小売業」</w:t>
      </w:r>
      <w:r w:rsidR="00225FF3">
        <w:rPr>
          <w:rFonts w:asciiTheme="minorEastAsia" w:hAnsiTheme="minorEastAsia" w:hint="eastAsia"/>
        </w:rPr>
        <w:t>（34.1％）、</w:t>
      </w:r>
      <w:r w:rsidR="001F2B97">
        <w:rPr>
          <w:rFonts w:asciiTheme="minorEastAsia" w:hAnsiTheme="minorEastAsia" w:hint="eastAsia"/>
        </w:rPr>
        <w:t>「飲食業</w:t>
      </w:r>
      <w:r w:rsidR="00225FF3">
        <w:rPr>
          <w:rFonts w:asciiTheme="minorEastAsia" w:hAnsiTheme="minorEastAsia" w:hint="eastAsia"/>
        </w:rPr>
        <w:t>」（29.3％）などで、逆に「好転」の回答が多いのが、「建設業」（18.1％）、</w:t>
      </w:r>
      <w:r w:rsidR="006201AD">
        <w:rPr>
          <w:rFonts w:asciiTheme="minorEastAsia" w:hAnsiTheme="minorEastAsia" w:hint="eastAsia"/>
        </w:rPr>
        <w:t>「医療・福祉業」（22.5％）であった</w:t>
      </w:r>
      <w:r w:rsidR="001F7734">
        <w:rPr>
          <w:rFonts w:asciiTheme="minorEastAsia" w:hAnsiTheme="minorEastAsia" w:hint="eastAsia"/>
        </w:rPr>
        <w:t>。</w:t>
      </w:r>
      <w:r w:rsidR="006201AD">
        <w:rPr>
          <w:rFonts w:asciiTheme="minorEastAsia" w:hAnsiTheme="minorEastAsia" w:hint="eastAsia"/>
        </w:rPr>
        <w:t>また「悪化」が極端に少ないのは「不動産業」（12.5％）だった。</w:t>
      </w:r>
    </w:p>
    <w:p w:rsidR="001F7734" w:rsidRPr="001F7734" w:rsidRDefault="001F7734">
      <w:pPr>
        <w:rPr>
          <w:rFonts w:asciiTheme="minorEastAsia" w:hAnsiTheme="minorEastAsia"/>
        </w:rPr>
      </w:pPr>
      <w:r>
        <w:rPr>
          <w:rFonts w:asciiTheme="minorEastAsia" w:hAnsiTheme="minorEastAsia" w:hint="eastAsia"/>
        </w:rPr>
        <w:t xml:space="preserve">　商業</w:t>
      </w:r>
      <w:r w:rsidR="005D1759">
        <w:rPr>
          <w:rFonts w:asciiTheme="minorEastAsia" w:hAnsiTheme="minorEastAsia" w:hint="eastAsia"/>
        </w:rPr>
        <w:t>や</w:t>
      </w:r>
      <w:r>
        <w:rPr>
          <w:rFonts w:asciiTheme="minorEastAsia" w:hAnsiTheme="minorEastAsia" w:hint="eastAsia"/>
        </w:rPr>
        <w:t>飲食業については、震災後いわき市への大規模な人口流入により、一部で活況を呈している事業所もあったが、多くが地元（とくに小規模）の企業である商工会議所会員</w:t>
      </w:r>
      <w:r w:rsidR="00232D21">
        <w:rPr>
          <w:rFonts w:asciiTheme="minorEastAsia" w:hAnsiTheme="minorEastAsia" w:hint="eastAsia"/>
        </w:rPr>
        <w:t>で</w:t>
      </w:r>
      <w:r>
        <w:rPr>
          <w:rFonts w:asciiTheme="minorEastAsia" w:hAnsiTheme="minorEastAsia" w:hint="eastAsia"/>
        </w:rPr>
        <w:t>は、震災前より売り上げを落としている傾向にあり、現在もその傾向が止まらないことが分かる。また、建</w:t>
      </w:r>
      <w:r>
        <w:rPr>
          <w:rFonts w:asciiTheme="minorEastAsia" w:hAnsiTheme="minorEastAsia" w:hint="eastAsia"/>
        </w:rPr>
        <w:lastRenderedPageBreak/>
        <w:t>設業は引き続き需要が高いことや、医療・福祉業についても今後ともニーズの高まりが予想される。一方、いわゆる「震災バブル」の</w:t>
      </w:r>
      <w:r w:rsidR="00BE0C65">
        <w:rPr>
          <w:rFonts w:asciiTheme="minorEastAsia" w:hAnsiTheme="minorEastAsia" w:hint="eastAsia"/>
        </w:rPr>
        <w:t>象徴でもあった土地および住居価格の高騰については、不動産業が引き続き好調であるものの、「好転」の局面が終了した兆しもみられ、今後本格的に「震災後」の地域経済の在り方が問われる時期に入ってきていると言える。</w:t>
      </w:r>
    </w:p>
    <w:p w:rsidR="0028376D" w:rsidRDefault="006201AD">
      <w:pPr>
        <w:rPr>
          <w:rFonts w:asciiTheme="minorEastAsia" w:hAnsiTheme="minorEastAsia"/>
        </w:rPr>
      </w:pPr>
      <w:r>
        <w:rPr>
          <w:rFonts w:asciiTheme="minorEastAsia" w:hAnsiTheme="minorEastAsia" w:hint="eastAsia"/>
        </w:rPr>
        <w:t xml:space="preserve">　</w:t>
      </w:r>
    </w:p>
    <w:p w:rsidR="001D4C43" w:rsidRPr="005F2C2A" w:rsidRDefault="005F2C2A">
      <w:pPr>
        <w:rPr>
          <w:rFonts w:asciiTheme="majorEastAsia" w:eastAsiaTheme="majorEastAsia" w:hAnsiTheme="majorEastAsia"/>
          <w:sz w:val="20"/>
          <w:szCs w:val="20"/>
        </w:rPr>
      </w:pPr>
      <w:r w:rsidRPr="005F2C2A">
        <w:rPr>
          <w:rFonts w:asciiTheme="majorEastAsia" w:eastAsiaTheme="majorEastAsia" w:hAnsiTheme="majorEastAsia" w:hint="eastAsia"/>
          <w:sz w:val="20"/>
          <w:szCs w:val="20"/>
        </w:rPr>
        <w:t>図</w:t>
      </w:r>
      <w:r w:rsidR="001D4C43" w:rsidRPr="005F2C2A">
        <w:rPr>
          <w:rFonts w:asciiTheme="majorEastAsia" w:eastAsiaTheme="majorEastAsia" w:hAnsiTheme="majorEastAsia" w:hint="eastAsia"/>
          <w:sz w:val="20"/>
          <w:szCs w:val="20"/>
        </w:rPr>
        <w:t>表</w:t>
      </w:r>
      <w:r w:rsidR="001B0B64" w:rsidRPr="005F2C2A">
        <w:rPr>
          <w:rFonts w:asciiTheme="majorEastAsia" w:eastAsiaTheme="majorEastAsia" w:hAnsiTheme="majorEastAsia" w:hint="eastAsia"/>
          <w:sz w:val="20"/>
          <w:szCs w:val="20"/>
        </w:rPr>
        <w:t>2</w:t>
      </w:r>
      <w:r w:rsidR="001D4C43" w:rsidRPr="005F2C2A">
        <w:rPr>
          <w:rFonts w:asciiTheme="majorEastAsia" w:eastAsiaTheme="majorEastAsia" w:hAnsiTheme="majorEastAsia" w:hint="eastAsia"/>
          <w:sz w:val="20"/>
          <w:szCs w:val="20"/>
        </w:rPr>
        <w:t>. 経営状況について</w:t>
      </w:r>
    </w:p>
    <w:tbl>
      <w:tblPr>
        <w:tblW w:w="4220" w:type="dxa"/>
        <w:tblInd w:w="84" w:type="dxa"/>
        <w:tblCellMar>
          <w:left w:w="99" w:type="dxa"/>
          <w:right w:w="99" w:type="dxa"/>
        </w:tblCellMar>
        <w:tblLook w:val="04A0" w:firstRow="1" w:lastRow="0" w:firstColumn="1" w:lastColumn="0" w:noHBand="0" w:noVBand="1"/>
      </w:tblPr>
      <w:tblGrid>
        <w:gridCol w:w="204"/>
        <w:gridCol w:w="1793"/>
        <w:gridCol w:w="1043"/>
        <w:gridCol w:w="1180"/>
      </w:tblGrid>
      <w:tr w:rsidR="0028376D" w:rsidRPr="005F2C2A" w:rsidTr="007B6AC2">
        <w:trPr>
          <w:trHeight w:val="402"/>
        </w:trPr>
        <w:tc>
          <w:tcPr>
            <w:tcW w:w="3040" w:type="dxa"/>
            <w:gridSpan w:val="3"/>
            <w:tcBorders>
              <w:top w:val="nil"/>
              <w:left w:val="nil"/>
              <w:bottom w:val="nil"/>
              <w:right w:val="nil"/>
            </w:tcBorders>
            <w:shd w:val="clear" w:color="auto" w:fill="auto"/>
            <w:noWrap/>
            <w:vAlign w:val="center"/>
            <w:hideMark/>
          </w:tcPr>
          <w:p w:rsidR="0028376D" w:rsidRPr="005F2C2A" w:rsidRDefault="0028376D" w:rsidP="00232D21">
            <w:pPr>
              <w:pStyle w:val="a7"/>
              <w:widowControl/>
              <w:numPr>
                <w:ilvl w:val="0"/>
                <w:numId w:val="25"/>
              </w:numPr>
              <w:ind w:leftChars="0"/>
              <w:jc w:val="left"/>
              <w:rPr>
                <w:rFonts w:ascii="HGPｺﾞｼｯｸE" w:eastAsia="HGPｺﾞｼｯｸE" w:hAnsi="HGPｺﾞｼｯｸE" w:cs="ＭＳ Ｐゴシック"/>
                <w:color w:val="000000"/>
                <w:kern w:val="0"/>
                <w:sz w:val="20"/>
                <w:szCs w:val="24"/>
              </w:rPr>
            </w:pPr>
            <w:r w:rsidRPr="005F2C2A">
              <w:rPr>
                <w:rFonts w:ascii="HGPｺﾞｼｯｸE" w:eastAsia="HGPｺﾞｼｯｸE" w:hAnsi="HGPｺﾞｼｯｸE" w:cs="ＭＳ Ｐゴシック" w:hint="eastAsia"/>
                <w:color w:val="000000"/>
                <w:kern w:val="0"/>
                <w:sz w:val="20"/>
                <w:szCs w:val="24"/>
              </w:rPr>
              <w:t>売上・採算（前年比）</w:t>
            </w:r>
          </w:p>
        </w:tc>
        <w:tc>
          <w:tcPr>
            <w:tcW w:w="1180" w:type="dxa"/>
            <w:tcBorders>
              <w:top w:val="nil"/>
              <w:left w:val="nil"/>
              <w:bottom w:val="nil"/>
              <w:right w:val="nil"/>
            </w:tcBorders>
            <w:shd w:val="clear" w:color="auto" w:fill="auto"/>
            <w:noWrap/>
            <w:vAlign w:val="center"/>
            <w:hideMark/>
          </w:tcPr>
          <w:p w:rsidR="0028376D" w:rsidRPr="005F2C2A" w:rsidRDefault="0028376D" w:rsidP="0028376D">
            <w:pPr>
              <w:widowControl/>
              <w:jc w:val="left"/>
              <w:rPr>
                <w:rFonts w:ascii="HGPｺﾞｼｯｸM" w:eastAsia="HGPｺﾞｼｯｸM" w:hAnsi="ＭＳ Ｐゴシック" w:cs="ＭＳ Ｐゴシック"/>
                <w:color w:val="000000"/>
                <w:kern w:val="0"/>
                <w:sz w:val="20"/>
              </w:rPr>
            </w:pPr>
          </w:p>
        </w:tc>
      </w:tr>
      <w:tr w:rsidR="0028376D" w:rsidRPr="0028376D" w:rsidTr="007B6AC2">
        <w:trPr>
          <w:trHeight w:val="300"/>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 xml:space="preserve">　</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center"/>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件数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center"/>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率（％）</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好転</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180</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11.3%</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変化なし</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1,015</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63.6%</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悪化</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402</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25.2%</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rPr>
            </w:pPr>
          </w:p>
        </w:tc>
        <w:tc>
          <w:tcPr>
            <w:tcW w:w="1793"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rPr>
            </w:pPr>
          </w:p>
        </w:tc>
        <w:tc>
          <w:tcPr>
            <w:tcW w:w="1043"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rPr>
            </w:pPr>
          </w:p>
        </w:tc>
        <w:tc>
          <w:tcPr>
            <w:tcW w:w="1180"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rPr>
            </w:pPr>
          </w:p>
        </w:tc>
      </w:tr>
      <w:tr w:rsidR="0028376D" w:rsidRPr="005F2C2A" w:rsidTr="007B6AC2">
        <w:trPr>
          <w:trHeight w:val="402"/>
        </w:trPr>
        <w:tc>
          <w:tcPr>
            <w:tcW w:w="3040" w:type="dxa"/>
            <w:gridSpan w:val="3"/>
            <w:tcBorders>
              <w:top w:val="nil"/>
              <w:left w:val="nil"/>
              <w:bottom w:val="nil"/>
              <w:right w:val="nil"/>
            </w:tcBorders>
            <w:shd w:val="clear" w:color="auto" w:fill="auto"/>
            <w:noWrap/>
            <w:vAlign w:val="center"/>
            <w:hideMark/>
          </w:tcPr>
          <w:p w:rsidR="0028376D" w:rsidRPr="005F2C2A" w:rsidRDefault="0028376D" w:rsidP="00232D21">
            <w:pPr>
              <w:pStyle w:val="a7"/>
              <w:widowControl/>
              <w:numPr>
                <w:ilvl w:val="0"/>
                <w:numId w:val="25"/>
              </w:numPr>
              <w:ind w:leftChars="0"/>
              <w:jc w:val="left"/>
              <w:rPr>
                <w:rFonts w:ascii="HGPｺﾞｼｯｸE" w:eastAsia="HGPｺﾞｼｯｸE" w:hAnsi="HGPｺﾞｼｯｸE" w:cs="ＭＳ Ｐゴシック"/>
                <w:color w:val="000000"/>
                <w:kern w:val="0"/>
                <w:sz w:val="20"/>
                <w:szCs w:val="24"/>
              </w:rPr>
            </w:pPr>
            <w:r w:rsidRPr="005F2C2A">
              <w:rPr>
                <w:rFonts w:ascii="HGPｺﾞｼｯｸE" w:eastAsia="HGPｺﾞｼｯｸE" w:hAnsi="HGPｺﾞｼｯｸE" w:cs="ＭＳ Ｐゴシック" w:hint="eastAsia"/>
                <w:color w:val="000000"/>
                <w:kern w:val="0"/>
                <w:sz w:val="20"/>
                <w:szCs w:val="24"/>
              </w:rPr>
              <w:t>資金繰り（前年比）</w:t>
            </w:r>
          </w:p>
        </w:tc>
        <w:tc>
          <w:tcPr>
            <w:tcW w:w="1180" w:type="dxa"/>
            <w:tcBorders>
              <w:top w:val="nil"/>
              <w:left w:val="nil"/>
              <w:bottom w:val="nil"/>
              <w:right w:val="nil"/>
            </w:tcBorders>
            <w:shd w:val="clear" w:color="auto" w:fill="auto"/>
            <w:noWrap/>
            <w:vAlign w:val="center"/>
            <w:hideMark/>
          </w:tcPr>
          <w:p w:rsidR="0028376D" w:rsidRPr="005F2C2A" w:rsidRDefault="0028376D" w:rsidP="0028376D">
            <w:pPr>
              <w:widowControl/>
              <w:jc w:val="left"/>
              <w:rPr>
                <w:rFonts w:ascii="HGPｺﾞｼｯｸM" w:eastAsia="HGPｺﾞｼｯｸM" w:hAnsi="ＭＳ Ｐゴシック" w:cs="ＭＳ Ｐゴシック"/>
                <w:color w:val="000000"/>
                <w:kern w:val="0"/>
                <w:sz w:val="20"/>
              </w:rPr>
            </w:pPr>
          </w:p>
        </w:tc>
      </w:tr>
      <w:tr w:rsidR="0028376D" w:rsidRPr="0028376D" w:rsidTr="007B6AC2">
        <w:trPr>
          <w:trHeight w:val="300"/>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 xml:space="preserve">　</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center"/>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件数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center"/>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率（％）</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良好</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93</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5.8%</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普通</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1,149</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71.9%</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やや厳しい</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332</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20.8%</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厳しい</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1.4%</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rPr>
            </w:pPr>
          </w:p>
        </w:tc>
        <w:tc>
          <w:tcPr>
            <w:tcW w:w="1793"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rPr>
            </w:pPr>
          </w:p>
        </w:tc>
        <w:tc>
          <w:tcPr>
            <w:tcW w:w="1043"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rPr>
            </w:pPr>
          </w:p>
        </w:tc>
        <w:tc>
          <w:tcPr>
            <w:tcW w:w="1180"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rPr>
            </w:pPr>
          </w:p>
        </w:tc>
      </w:tr>
      <w:tr w:rsidR="0028376D" w:rsidRPr="005F2C2A" w:rsidTr="007B6AC2">
        <w:trPr>
          <w:trHeight w:val="402"/>
        </w:trPr>
        <w:tc>
          <w:tcPr>
            <w:tcW w:w="4220" w:type="dxa"/>
            <w:gridSpan w:val="4"/>
            <w:tcBorders>
              <w:top w:val="nil"/>
              <w:left w:val="nil"/>
              <w:bottom w:val="nil"/>
              <w:right w:val="nil"/>
            </w:tcBorders>
            <w:shd w:val="clear" w:color="auto" w:fill="auto"/>
            <w:noWrap/>
            <w:vAlign w:val="center"/>
            <w:hideMark/>
          </w:tcPr>
          <w:p w:rsidR="0028376D" w:rsidRPr="005F2C2A" w:rsidRDefault="0028376D" w:rsidP="0028376D">
            <w:pPr>
              <w:widowControl/>
              <w:jc w:val="left"/>
              <w:rPr>
                <w:rFonts w:ascii="HGPｺﾞｼｯｸE" w:eastAsia="HGPｺﾞｼｯｸE" w:hAnsi="HGPｺﾞｼｯｸE" w:cs="ＭＳ Ｐゴシック"/>
                <w:color w:val="000000"/>
                <w:kern w:val="0"/>
                <w:sz w:val="20"/>
                <w:szCs w:val="24"/>
              </w:rPr>
            </w:pPr>
            <w:r w:rsidRPr="005F2C2A">
              <w:rPr>
                <w:rFonts w:ascii="HGPｺﾞｼｯｸE" w:eastAsia="HGPｺﾞｼｯｸE" w:hAnsi="HGPｺﾞｼｯｸE" w:cs="ＭＳ Ｐゴシック" w:hint="eastAsia"/>
                <w:color w:val="000000"/>
                <w:kern w:val="0"/>
                <w:sz w:val="20"/>
                <w:szCs w:val="24"/>
              </w:rPr>
              <w:t>③東電原発補償金の有無（現在）</w:t>
            </w:r>
          </w:p>
        </w:tc>
      </w:tr>
      <w:tr w:rsidR="0028376D" w:rsidRPr="0028376D" w:rsidTr="007B6AC2">
        <w:trPr>
          <w:trHeight w:val="300"/>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 xml:space="preserve">　</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center"/>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件数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center"/>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率（％）</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有</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258</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16.2%</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無</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1,305</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81.7%</w:t>
            </w:r>
          </w:p>
        </w:tc>
      </w:tr>
      <w:tr w:rsidR="0028376D" w:rsidRPr="0028376D" w:rsidTr="007B6AC2">
        <w:trPr>
          <w:trHeight w:val="402"/>
        </w:trPr>
        <w:tc>
          <w:tcPr>
            <w:tcW w:w="204" w:type="dxa"/>
            <w:tcBorders>
              <w:top w:val="nil"/>
              <w:left w:val="nil"/>
              <w:bottom w:val="nil"/>
              <w:right w:val="nil"/>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28376D" w:rsidRPr="0028376D" w:rsidRDefault="0028376D" w:rsidP="0028376D">
            <w:pPr>
              <w:widowControl/>
              <w:jc w:val="lef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無回答</w:t>
            </w:r>
          </w:p>
        </w:tc>
        <w:tc>
          <w:tcPr>
            <w:tcW w:w="1043"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34</w:t>
            </w:r>
          </w:p>
        </w:tc>
        <w:tc>
          <w:tcPr>
            <w:tcW w:w="1180" w:type="dxa"/>
            <w:tcBorders>
              <w:top w:val="nil"/>
              <w:left w:val="nil"/>
              <w:bottom w:val="single" w:sz="4" w:space="0" w:color="auto"/>
              <w:right w:val="single" w:sz="4" w:space="0" w:color="auto"/>
            </w:tcBorders>
            <w:shd w:val="clear" w:color="auto" w:fill="auto"/>
            <w:noWrap/>
            <w:vAlign w:val="center"/>
            <w:hideMark/>
          </w:tcPr>
          <w:p w:rsidR="0028376D" w:rsidRPr="0028376D" w:rsidRDefault="0028376D" w:rsidP="0028376D">
            <w:pPr>
              <w:widowControl/>
              <w:jc w:val="right"/>
              <w:rPr>
                <w:rFonts w:ascii="HGPｺﾞｼｯｸM" w:eastAsia="HGPｺﾞｼｯｸM" w:hAnsi="ＭＳ Ｐゴシック" w:cs="ＭＳ Ｐゴシック"/>
                <w:color w:val="000000"/>
                <w:kern w:val="0"/>
                <w:sz w:val="20"/>
              </w:rPr>
            </w:pPr>
            <w:r w:rsidRPr="0028376D">
              <w:rPr>
                <w:rFonts w:ascii="HGPｺﾞｼｯｸM" w:eastAsia="HGPｺﾞｼｯｸM" w:hAnsi="ＭＳ Ｐゴシック" w:cs="ＭＳ Ｐゴシック" w:hint="eastAsia"/>
                <w:color w:val="000000"/>
                <w:kern w:val="0"/>
                <w:sz w:val="20"/>
              </w:rPr>
              <w:t>2.1%</w:t>
            </w:r>
          </w:p>
        </w:tc>
      </w:tr>
    </w:tbl>
    <w:p w:rsidR="0028376D" w:rsidRDefault="000A38F7">
      <w:pPr>
        <w:rPr>
          <w:rFonts w:asciiTheme="minorEastAsia" w:hAnsiTheme="minorEastAsia"/>
        </w:rPr>
      </w:pPr>
      <w:r w:rsidRPr="000A38F7">
        <w:rPr>
          <w:rFonts w:asciiTheme="minorEastAsia" w:hAnsiTheme="minorEastAsia"/>
          <w:noProof/>
        </w:rPr>
        <mc:AlternateContent>
          <mc:Choice Requires="wps">
            <w:drawing>
              <wp:anchor distT="0" distB="0" distL="114300" distR="114300" simplePos="0" relativeHeight="251667456" behindDoc="0" locked="0" layoutInCell="1" allowOverlap="1" wp14:anchorId="599CDF07" wp14:editId="7224FBD0">
                <wp:simplePos x="0" y="0"/>
                <wp:positionH relativeFrom="column">
                  <wp:posOffset>3852545</wp:posOffset>
                </wp:positionH>
                <wp:positionV relativeFrom="paragraph">
                  <wp:posOffset>73660</wp:posOffset>
                </wp:positionV>
                <wp:extent cx="1990725" cy="3081655"/>
                <wp:effectExtent l="0" t="0" r="9525"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081655"/>
                        </a:xfrm>
                        <a:prstGeom prst="rect">
                          <a:avLst/>
                        </a:prstGeom>
                        <a:solidFill>
                          <a:srgbClr val="FFFFFF"/>
                        </a:solidFill>
                        <a:ln w="9525">
                          <a:noFill/>
                          <a:miter lim="800000"/>
                          <a:headEnd/>
                          <a:tailEnd/>
                        </a:ln>
                      </wps:spPr>
                      <wps:txbx>
                        <w:txbxContent>
                          <w:p w:rsidR="003971F6" w:rsidRDefault="003971F6">
                            <w:r>
                              <w:rPr>
                                <w:noProof/>
                              </w:rPr>
                              <w:drawing>
                                <wp:inline distT="0" distB="0" distL="0" distR="0" wp14:anchorId="6DB3184F" wp14:editId="0AB886D0">
                                  <wp:extent cx="1895475" cy="276225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3.35pt;margin-top:5.8pt;width:156.75pt;height:2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" stroked="f">
                <v:textbox>
                  <w:txbxContent>
                    <w:p w:rsidR="003971F6" w:rsidRDefault="003971F6">
                      <w:r>
                        <w:rPr>
                          <w:noProof/>
                        </w:rPr>
                        <w:drawing>
                          <wp:inline distT="0" distB="0" distL="0" distR="0" wp14:anchorId="6DB3184F" wp14:editId="0AB886D0">
                            <wp:extent cx="1895475" cy="2762250"/>
                            <wp:effectExtent l="0" t="0" r="9525" b="1905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r w:rsidRPr="000A38F7">
        <w:rPr>
          <w:rFonts w:asciiTheme="minorEastAsia" w:hAnsiTheme="minorEastAsia"/>
          <w:noProof/>
        </w:rPr>
        <mc:AlternateContent>
          <mc:Choice Requires="wps">
            <w:drawing>
              <wp:anchor distT="0" distB="0" distL="114300" distR="114300" simplePos="0" relativeHeight="251665408" behindDoc="0" locked="0" layoutInCell="1" allowOverlap="1" wp14:anchorId="1DE47EED" wp14:editId="61E6121A">
                <wp:simplePos x="0" y="0"/>
                <wp:positionH relativeFrom="column">
                  <wp:posOffset>1837690</wp:posOffset>
                </wp:positionH>
                <wp:positionV relativeFrom="paragraph">
                  <wp:posOffset>76200</wp:posOffset>
                </wp:positionV>
                <wp:extent cx="206248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3985"/>
                        </a:xfrm>
                        <a:prstGeom prst="rect">
                          <a:avLst/>
                        </a:prstGeom>
                        <a:solidFill>
                          <a:srgbClr val="FFFFFF"/>
                        </a:solidFill>
                        <a:ln w="9525">
                          <a:noFill/>
                          <a:miter lim="800000"/>
                          <a:headEnd/>
                          <a:tailEnd/>
                        </a:ln>
                      </wps:spPr>
                      <wps:txbx>
                        <w:txbxContent>
                          <w:p w:rsidR="003971F6" w:rsidRDefault="003971F6">
                            <w:r>
                              <w:rPr>
                                <w:noProof/>
                              </w:rPr>
                              <w:drawing>
                                <wp:inline distT="0" distB="0" distL="0" distR="0" wp14:anchorId="1115D4B8" wp14:editId="0D8E4CF2">
                                  <wp:extent cx="1914525" cy="2762250"/>
                                  <wp:effectExtent l="0" t="0" r="9525" b="1905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4.7pt;margin-top:6pt;width:162.4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" stroked="f">
                <v:textbox style="mso-fit-shape-to-text:t">
                  <w:txbxContent>
                    <w:p w:rsidR="003971F6" w:rsidRDefault="003971F6">
                      <w:r>
                        <w:rPr>
                          <w:noProof/>
                        </w:rPr>
                        <w:drawing>
                          <wp:inline distT="0" distB="0" distL="0" distR="0" wp14:anchorId="1115D4B8" wp14:editId="0D8E4CF2">
                            <wp:extent cx="1914525" cy="2762250"/>
                            <wp:effectExtent l="0" t="0" r="9525" b="1905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Pr="000A38F7">
        <w:rPr>
          <w:rFonts w:asciiTheme="minorEastAsia" w:hAnsiTheme="minorEastAsia"/>
          <w:noProof/>
        </w:rPr>
        <mc:AlternateContent>
          <mc:Choice Requires="wps">
            <w:drawing>
              <wp:anchor distT="0" distB="0" distL="114300" distR="114300" simplePos="0" relativeHeight="251663360" behindDoc="0" locked="0" layoutInCell="1" allowOverlap="1" wp14:anchorId="52515EA3" wp14:editId="16A88256">
                <wp:simplePos x="0" y="0"/>
                <wp:positionH relativeFrom="column">
                  <wp:posOffset>-119380</wp:posOffset>
                </wp:positionH>
                <wp:positionV relativeFrom="paragraph">
                  <wp:posOffset>74295</wp:posOffset>
                </wp:positionV>
                <wp:extent cx="21145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solidFill>
                          <a:srgbClr val="FFFFFF"/>
                        </a:solidFill>
                        <a:ln w="9525">
                          <a:noFill/>
                          <a:miter lim="800000"/>
                          <a:headEnd/>
                          <a:tailEnd/>
                        </a:ln>
                      </wps:spPr>
                      <wps:txbx>
                        <w:txbxContent>
                          <w:p w:rsidR="003971F6" w:rsidRDefault="003971F6">
                            <w:r>
                              <w:rPr>
                                <w:noProof/>
                              </w:rPr>
                              <w:drawing>
                                <wp:inline distT="0" distB="0" distL="0" distR="0" wp14:anchorId="5109B64C" wp14:editId="7CA36B8E">
                                  <wp:extent cx="1914524" cy="2762251"/>
                                  <wp:effectExtent l="0" t="0" r="10160"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4pt;margin-top:5.85pt;width:16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" stroked="f">
                <v:textbox style="mso-fit-shape-to-text:t">
                  <w:txbxContent>
                    <w:p w:rsidR="003971F6" w:rsidRDefault="003971F6">
                      <w:r>
                        <w:rPr>
                          <w:noProof/>
                        </w:rPr>
                        <w:drawing>
                          <wp:inline distT="0" distB="0" distL="0" distR="0" wp14:anchorId="5109B64C" wp14:editId="7CA36B8E">
                            <wp:extent cx="1914524" cy="2762251"/>
                            <wp:effectExtent l="0" t="0" r="10160"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rsidR="0028376D" w:rsidRDefault="0028376D">
      <w:pPr>
        <w:rPr>
          <w:rFonts w:asciiTheme="minorEastAsia" w:hAnsiTheme="minorEastAsia"/>
        </w:rPr>
      </w:pPr>
    </w:p>
    <w:p w:rsidR="007B1E9E" w:rsidRDefault="007B1E9E">
      <w:pPr>
        <w:widowControl/>
        <w:jc w:val="left"/>
        <w:rPr>
          <w:rFonts w:asciiTheme="majorEastAsia" w:eastAsiaTheme="majorEastAsia" w:hAnsiTheme="majorEastAsia"/>
        </w:rPr>
      </w:pPr>
      <w:r>
        <w:rPr>
          <w:rFonts w:asciiTheme="majorEastAsia" w:eastAsiaTheme="majorEastAsia" w:hAnsiTheme="majorEastAsia"/>
        </w:rPr>
        <w:br w:type="page"/>
      </w:r>
    </w:p>
    <w:p w:rsidR="0028376D" w:rsidRPr="00EF2B96" w:rsidRDefault="0028376D">
      <w:pPr>
        <w:rPr>
          <w:rFonts w:asciiTheme="majorEastAsia" w:eastAsiaTheme="majorEastAsia" w:hAnsiTheme="majorEastAsia"/>
          <w:sz w:val="22"/>
        </w:rPr>
      </w:pPr>
      <w:r w:rsidRPr="00EF2B96">
        <w:rPr>
          <w:rFonts w:asciiTheme="majorEastAsia" w:eastAsiaTheme="majorEastAsia" w:hAnsiTheme="majorEastAsia" w:hint="eastAsia"/>
          <w:sz w:val="22"/>
        </w:rPr>
        <w:lastRenderedPageBreak/>
        <w:t>2．経営課題</w:t>
      </w:r>
      <w:r w:rsidR="001D4C43" w:rsidRPr="00EF2B96">
        <w:rPr>
          <w:rFonts w:asciiTheme="majorEastAsia" w:eastAsiaTheme="majorEastAsia" w:hAnsiTheme="majorEastAsia" w:hint="eastAsia"/>
          <w:sz w:val="22"/>
        </w:rPr>
        <w:t>について</w:t>
      </w:r>
    </w:p>
    <w:p w:rsidR="000973F5" w:rsidRPr="006667BB" w:rsidRDefault="000973F5">
      <w:pPr>
        <w:rPr>
          <w:rFonts w:asciiTheme="minorEastAsia" w:hAnsiTheme="minorEastAsia"/>
        </w:rPr>
      </w:pPr>
    </w:p>
    <w:p w:rsidR="00BE0C65" w:rsidRDefault="00BE0C65" w:rsidP="00FF4ED5">
      <w:pPr>
        <w:rPr>
          <w:rFonts w:asciiTheme="minorEastAsia" w:hAnsiTheme="minorEastAsia"/>
        </w:rPr>
      </w:pPr>
      <w:r>
        <w:rPr>
          <w:rFonts w:asciiTheme="minorEastAsia" w:hAnsiTheme="minorEastAsia" w:hint="eastAsia"/>
        </w:rPr>
        <w:t xml:space="preserve">　</w:t>
      </w:r>
      <w:r w:rsidR="00FF4ED5">
        <w:rPr>
          <w:rFonts w:asciiTheme="minorEastAsia" w:hAnsiTheme="minorEastAsia" w:hint="eastAsia"/>
        </w:rPr>
        <w:t>経営課題については、「</w:t>
      </w:r>
      <w:r w:rsidR="00FF4ED5" w:rsidRPr="00FF4ED5">
        <w:rPr>
          <w:rFonts w:asciiTheme="minorEastAsia" w:hAnsiTheme="minorEastAsia" w:hint="eastAsia"/>
        </w:rPr>
        <w:t>売上拡大策</w:t>
      </w:r>
      <w:r w:rsidR="00FF4ED5">
        <w:rPr>
          <w:rFonts w:asciiTheme="minorEastAsia" w:hAnsiTheme="minorEastAsia" w:hint="eastAsia"/>
        </w:rPr>
        <w:t>」が23％と最も多く、次いで「</w:t>
      </w:r>
      <w:r w:rsidR="00FF4ED5" w:rsidRPr="00FF4ED5">
        <w:rPr>
          <w:rFonts w:asciiTheme="minorEastAsia" w:hAnsiTheme="minorEastAsia" w:hint="eastAsia"/>
        </w:rPr>
        <w:t>販路拡大策</w:t>
      </w:r>
      <w:r w:rsidR="00FF4ED5">
        <w:rPr>
          <w:rFonts w:asciiTheme="minorEastAsia" w:hAnsiTheme="minorEastAsia" w:hint="eastAsia"/>
        </w:rPr>
        <w:t>（19.4％）」、「雇用対策（14.1％）」、「経営・財務改善（9.6％）」となっている。上位2つに関しては、企業活動の生命線であり、どの地方および企業でも同様であると考えられるが、とくに、震災によって売上減および販路が断たれる</w:t>
      </w:r>
      <w:r w:rsidR="003F2D9A">
        <w:rPr>
          <w:rFonts w:asciiTheme="minorEastAsia" w:hAnsiTheme="minorEastAsia" w:hint="eastAsia"/>
        </w:rPr>
        <w:t>事態が多く発生したことから、いわき市ではより深刻な課題だと考えられる。</w:t>
      </w:r>
    </w:p>
    <w:p w:rsidR="003F2D9A" w:rsidRDefault="003F2D9A" w:rsidP="00FF4ED5">
      <w:pPr>
        <w:rPr>
          <w:rFonts w:asciiTheme="minorEastAsia" w:hAnsiTheme="minorEastAsia"/>
        </w:rPr>
      </w:pPr>
      <w:r>
        <w:rPr>
          <w:rFonts w:asciiTheme="minorEastAsia" w:hAnsiTheme="minorEastAsia" w:hint="eastAsia"/>
        </w:rPr>
        <w:t xml:space="preserve">　また雇用問題も全国的に共通の課題だが、震災後、いわき市では実質的な消費人口の増加に比較して労働人口は増えておらず、人手不足が顕著</w:t>
      </w:r>
      <w:r w:rsidR="003F750F">
        <w:rPr>
          <w:rFonts w:asciiTheme="minorEastAsia" w:hAnsiTheme="minorEastAsia" w:hint="eastAsia"/>
        </w:rPr>
        <w:t>な状態が続いている</w:t>
      </w:r>
      <w:r>
        <w:rPr>
          <w:rFonts w:asciiTheme="minorEastAsia" w:hAnsiTheme="minorEastAsia" w:hint="eastAsia"/>
        </w:rPr>
        <w:t>。</w:t>
      </w:r>
    </w:p>
    <w:p w:rsidR="00FF4ED5" w:rsidRDefault="00FF4ED5">
      <w:pPr>
        <w:rPr>
          <w:rFonts w:asciiTheme="minorEastAsia" w:hAnsiTheme="minorEastAsia"/>
        </w:rPr>
      </w:pPr>
    </w:p>
    <w:p w:rsidR="00270328" w:rsidRPr="00270328" w:rsidRDefault="005F2C2A">
      <w:pPr>
        <w:rPr>
          <w:rFonts w:asciiTheme="majorEastAsia" w:eastAsiaTheme="majorEastAsia" w:hAnsiTheme="majorEastAsia"/>
          <w:sz w:val="20"/>
        </w:rPr>
      </w:pPr>
      <w:r w:rsidRPr="000A38F7">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B08F019" wp14:editId="40EFAF12">
                <wp:simplePos x="0" y="0"/>
                <wp:positionH relativeFrom="column">
                  <wp:posOffset>2319655</wp:posOffset>
                </wp:positionH>
                <wp:positionV relativeFrom="paragraph">
                  <wp:posOffset>227965</wp:posOffset>
                </wp:positionV>
                <wp:extent cx="3848100" cy="5200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200650"/>
                        </a:xfrm>
                        <a:prstGeom prst="rect">
                          <a:avLst/>
                        </a:prstGeom>
                        <a:solidFill>
                          <a:srgbClr val="FFFFFF"/>
                        </a:solidFill>
                        <a:ln w="9525">
                          <a:noFill/>
                          <a:miter lim="800000"/>
                          <a:headEnd/>
                          <a:tailEnd/>
                        </a:ln>
                      </wps:spPr>
                      <wps:txbx>
                        <w:txbxContent>
                          <w:p w:rsidR="003971F6" w:rsidRDefault="003971F6">
                            <w:r>
                              <w:rPr>
                                <w:noProof/>
                              </w:rPr>
                              <w:drawing>
                                <wp:inline distT="0" distB="0" distL="0" distR="0" wp14:anchorId="46A1C484" wp14:editId="46FCCB01">
                                  <wp:extent cx="3381375" cy="4781550"/>
                                  <wp:effectExtent l="0" t="0" r="9525" b="1905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2.65pt;margin-top:17.95pt;width:303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" stroked="f">
                <v:textbox>
                  <w:txbxContent>
                    <w:p w:rsidR="003971F6" w:rsidRDefault="003971F6">
                      <w:r>
                        <w:rPr>
                          <w:noProof/>
                        </w:rPr>
                        <w:drawing>
                          <wp:inline distT="0" distB="0" distL="0" distR="0" wp14:anchorId="46A1C484" wp14:editId="46FCCB01">
                            <wp:extent cx="3381375" cy="4781550"/>
                            <wp:effectExtent l="0" t="0" r="9525" b="19050"/>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r w:rsidR="000A38F7">
        <w:rPr>
          <w:rFonts w:asciiTheme="majorEastAsia" w:eastAsiaTheme="majorEastAsia" w:hAnsiTheme="majorEastAsia" w:hint="eastAsia"/>
          <w:sz w:val="20"/>
        </w:rPr>
        <w:t>図</w:t>
      </w:r>
      <w:r w:rsidR="001D4C43">
        <w:rPr>
          <w:rFonts w:asciiTheme="majorEastAsia" w:eastAsiaTheme="majorEastAsia" w:hAnsiTheme="majorEastAsia" w:hint="eastAsia"/>
          <w:sz w:val="20"/>
        </w:rPr>
        <w:t>表2.</w:t>
      </w:r>
      <w:r w:rsidR="00270328" w:rsidRPr="00270328">
        <w:rPr>
          <w:rFonts w:asciiTheme="majorEastAsia" w:eastAsiaTheme="majorEastAsia" w:hAnsiTheme="majorEastAsia" w:hint="eastAsia"/>
          <w:sz w:val="20"/>
        </w:rPr>
        <w:t>経営課題　（複数回答：3項目まで）</w:t>
      </w:r>
    </w:p>
    <w:tbl>
      <w:tblPr>
        <w:tblW w:w="3434" w:type="dxa"/>
        <w:tblInd w:w="84" w:type="dxa"/>
        <w:tblCellMar>
          <w:left w:w="99" w:type="dxa"/>
          <w:right w:w="99" w:type="dxa"/>
        </w:tblCellMar>
        <w:tblLook w:val="04A0" w:firstRow="1" w:lastRow="0" w:firstColumn="1" w:lastColumn="0" w:noHBand="0" w:noVBand="1"/>
      </w:tblPr>
      <w:tblGrid>
        <w:gridCol w:w="1678"/>
        <w:gridCol w:w="778"/>
        <w:gridCol w:w="978"/>
      </w:tblGrid>
      <w:tr w:rsidR="00FF4ED5" w:rsidRPr="00FF4ED5" w:rsidTr="000A38F7">
        <w:trPr>
          <w:trHeight w:val="300"/>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 xml:space="preserve">　</w:t>
            </w:r>
          </w:p>
        </w:tc>
        <w:tc>
          <w:tcPr>
            <w:tcW w:w="778" w:type="dxa"/>
            <w:tcBorders>
              <w:top w:val="single" w:sz="4" w:space="0" w:color="auto"/>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center"/>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件数</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center"/>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率（％）</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売上拡大策</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782</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23.0%</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販路拡大策</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661</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19.4%</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事業拡大策</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155</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4.6%</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新商品開発</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78</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2.3%</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組織・人材育成</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248</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7.3%</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経営・財務改善</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328</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9.6%</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資金繰り</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87</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2.6%</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経理・税務対策</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131</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3.9%</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消費税対策</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205</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6.0%</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雇用対策</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480</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14.1%</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情報化策</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109</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3.2%</w:t>
            </w:r>
          </w:p>
        </w:tc>
      </w:tr>
      <w:tr w:rsidR="00FF4ED5" w:rsidRPr="00FF4ED5" w:rsidTr="000A38F7">
        <w:trPr>
          <w:trHeight w:val="402"/>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FF4ED5" w:rsidRPr="00FF4ED5" w:rsidRDefault="00FF4ED5" w:rsidP="00FF4ED5">
            <w:pPr>
              <w:widowControl/>
              <w:jc w:val="lef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事業承継</w:t>
            </w:r>
          </w:p>
        </w:tc>
        <w:tc>
          <w:tcPr>
            <w:tcW w:w="7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136</w:t>
            </w:r>
          </w:p>
        </w:tc>
        <w:tc>
          <w:tcPr>
            <w:tcW w:w="978" w:type="dxa"/>
            <w:tcBorders>
              <w:top w:val="nil"/>
              <w:left w:val="nil"/>
              <w:bottom w:val="single" w:sz="4" w:space="0" w:color="auto"/>
              <w:right w:val="single" w:sz="4" w:space="0" w:color="auto"/>
            </w:tcBorders>
            <w:shd w:val="clear" w:color="auto" w:fill="auto"/>
            <w:noWrap/>
            <w:vAlign w:val="center"/>
            <w:hideMark/>
          </w:tcPr>
          <w:p w:rsidR="00FF4ED5" w:rsidRPr="00FF4ED5" w:rsidRDefault="00FF4ED5" w:rsidP="00FF4ED5">
            <w:pPr>
              <w:widowControl/>
              <w:jc w:val="right"/>
              <w:rPr>
                <w:rFonts w:ascii="HGPｺﾞｼｯｸM" w:eastAsia="HGPｺﾞｼｯｸM" w:hAnsi="ＭＳ Ｐゴシック" w:cs="ＭＳ Ｐゴシック"/>
                <w:color w:val="000000"/>
                <w:kern w:val="0"/>
                <w:sz w:val="20"/>
              </w:rPr>
            </w:pPr>
            <w:r w:rsidRPr="00FF4ED5">
              <w:rPr>
                <w:rFonts w:ascii="HGPｺﾞｼｯｸM" w:eastAsia="HGPｺﾞｼｯｸM" w:hAnsi="ＭＳ Ｐゴシック" w:cs="ＭＳ Ｐゴシック" w:hint="eastAsia"/>
                <w:color w:val="000000"/>
                <w:kern w:val="0"/>
                <w:sz w:val="20"/>
              </w:rPr>
              <w:t>4.0%</w:t>
            </w:r>
          </w:p>
        </w:tc>
      </w:tr>
    </w:tbl>
    <w:p w:rsidR="00BE0C65" w:rsidRDefault="00BE0C65">
      <w:pPr>
        <w:rPr>
          <w:rFonts w:asciiTheme="minorEastAsia" w:hAnsiTheme="minorEastAsia" w:hint="eastAsia"/>
        </w:rPr>
      </w:pPr>
    </w:p>
    <w:p w:rsidR="000A38F7" w:rsidRDefault="000A38F7">
      <w:pPr>
        <w:rPr>
          <w:rFonts w:asciiTheme="minorEastAsia" w:hAnsiTheme="minorEastAsia" w:hint="eastAsia"/>
        </w:rPr>
      </w:pPr>
    </w:p>
    <w:p w:rsidR="000A38F7" w:rsidRDefault="000A38F7">
      <w:pPr>
        <w:rPr>
          <w:rFonts w:asciiTheme="minorEastAsia" w:hAnsiTheme="minorEastAsia" w:hint="eastAsia"/>
        </w:rPr>
      </w:pPr>
    </w:p>
    <w:p w:rsidR="000A38F7" w:rsidRDefault="000A38F7">
      <w:pPr>
        <w:rPr>
          <w:rFonts w:asciiTheme="minorEastAsia" w:hAnsiTheme="minorEastAsia" w:hint="eastAsia"/>
        </w:rPr>
      </w:pPr>
    </w:p>
    <w:p w:rsidR="000A38F7" w:rsidRDefault="000A38F7">
      <w:pPr>
        <w:rPr>
          <w:rFonts w:asciiTheme="minorEastAsia" w:hAnsiTheme="minorEastAsia" w:hint="eastAsia"/>
        </w:rPr>
      </w:pPr>
    </w:p>
    <w:p w:rsidR="000A38F7" w:rsidRDefault="000A38F7">
      <w:pPr>
        <w:rPr>
          <w:rFonts w:asciiTheme="minorEastAsia" w:hAnsiTheme="minorEastAsia" w:hint="eastAsia"/>
        </w:rPr>
      </w:pPr>
    </w:p>
    <w:p w:rsidR="000A38F7" w:rsidRDefault="000A38F7">
      <w:pPr>
        <w:rPr>
          <w:rFonts w:asciiTheme="minorEastAsia" w:hAnsiTheme="minorEastAsia" w:hint="eastAsia"/>
        </w:rPr>
      </w:pPr>
    </w:p>
    <w:p w:rsidR="00313D57" w:rsidRDefault="00313D57">
      <w:pPr>
        <w:rPr>
          <w:rFonts w:asciiTheme="minorEastAsia" w:hAnsiTheme="minorEastAsia" w:hint="eastAsia"/>
        </w:rPr>
      </w:pPr>
    </w:p>
    <w:p w:rsidR="00BE0C65" w:rsidRDefault="003F750F">
      <w:pPr>
        <w:rPr>
          <w:rFonts w:asciiTheme="minorEastAsia" w:hAnsiTheme="minorEastAsia"/>
        </w:rPr>
      </w:pPr>
      <w:r>
        <w:rPr>
          <w:rFonts w:asciiTheme="minorEastAsia" w:hAnsiTheme="minorEastAsia" w:hint="eastAsia"/>
        </w:rPr>
        <w:t xml:space="preserve">　業種別にみると</w:t>
      </w:r>
      <w:r w:rsidR="00E044EE">
        <w:rPr>
          <w:rFonts w:asciiTheme="minorEastAsia" w:hAnsiTheme="minorEastAsia" w:hint="eastAsia"/>
        </w:rPr>
        <w:t>、「雇用対策」が突出して高い</w:t>
      </w:r>
      <w:r w:rsidR="00571FFE">
        <w:rPr>
          <w:rFonts w:asciiTheme="minorEastAsia" w:hAnsiTheme="minorEastAsia" w:hint="eastAsia"/>
        </w:rPr>
        <w:t>業種</w:t>
      </w:r>
      <w:r w:rsidR="00E044EE">
        <w:rPr>
          <w:rFonts w:asciiTheme="minorEastAsia" w:hAnsiTheme="minorEastAsia" w:hint="eastAsia"/>
        </w:rPr>
        <w:t>が「建設業（26.4％）」、「医療・福祉業（21.2％）」で、</w:t>
      </w:r>
      <w:r w:rsidR="00571FFE">
        <w:rPr>
          <w:rFonts w:asciiTheme="minorEastAsia" w:hAnsiTheme="minorEastAsia" w:hint="eastAsia"/>
        </w:rPr>
        <w:t>売上</w:t>
      </w:r>
      <w:r w:rsidR="004F3A19">
        <w:rPr>
          <w:rFonts w:asciiTheme="minorEastAsia" w:hAnsiTheme="minorEastAsia" w:hint="eastAsia"/>
        </w:rPr>
        <w:t>が好調な業種で人手不足が激しいことが分かる。それに対し、「売上拡大策」が高い業種は「理美容業（32.5％）」、</w:t>
      </w:r>
      <w:r w:rsidR="00524B33">
        <w:rPr>
          <w:rFonts w:asciiTheme="minorEastAsia" w:hAnsiTheme="minorEastAsia" w:hint="eastAsia"/>
        </w:rPr>
        <w:t>「宿泊業（34.4％）」、「飲食業（28.0％）」などで、これらの業種では「雇用対策」が軒並み低くなっている。つまり、売上の落込みが大きい業種では、</w:t>
      </w:r>
      <w:r w:rsidR="00636F73">
        <w:rPr>
          <w:rFonts w:asciiTheme="minorEastAsia" w:hAnsiTheme="minorEastAsia" w:hint="eastAsia"/>
        </w:rPr>
        <w:t>人手の問題は発生せず、売上の動向によって雇用が収縮する恐れも</w:t>
      </w:r>
      <w:r w:rsidR="005D1759">
        <w:rPr>
          <w:rFonts w:asciiTheme="minorEastAsia" w:hAnsiTheme="minorEastAsia" w:hint="eastAsia"/>
        </w:rPr>
        <w:t>あ</w:t>
      </w:r>
      <w:r w:rsidR="00636F73">
        <w:rPr>
          <w:rFonts w:asciiTheme="minorEastAsia" w:hAnsiTheme="minorEastAsia" w:hint="eastAsia"/>
        </w:rPr>
        <w:t>る。</w:t>
      </w:r>
    </w:p>
    <w:p w:rsidR="0028376D" w:rsidRPr="00EF2B96" w:rsidRDefault="0028376D">
      <w:pPr>
        <w:rPr>
          <w:rFonts w:asciiTheme="majorEastAsia" w:eastAsiaTheme="majorEastAsia" w:hAnsiTheme="majorEastAsia"/>
          <w:sz w:val="22"/>
        </w:rPr>
      </w:pPr>
      <w:r w:rsidRPr="00EF2B96">
        <w:rPr>
          <w:rFonts w:asciiTheme="majorEastAsia" w:eastAsiaTheme="majorEastAsia" w:hAnsiTheme="majorEastAsia" w:hint="eastAsia"/>
          <w:sz w:val="22"/>
        </w:rPr>
        <w:lastRenderedPageBreak/>
        <w:t>3．事業承継および後継者</w:t>
      </w:r>
      <w:r w:rsidR="001D4C43" w:rsidRPr="00EF2B96">
        <w:rPr>
          <w:rFonts w:asciiTheme="majorEastAsia" w:eastAsiaTheme="majorEastAsia" w:hAnsiTheme="majorEastAsia" w:hint="eastAsia"/>
          <w:sz w:val="22"/>
        </w:rPr>
        <w:t>について</w:t>
      </w:r>
    </w:p>
    <w:p w:rsidR="00636F73" w:rsidRDefault="00636F73">
      <w:pPr>
        <w:rPr>
          <w:rFonts w:asciiTheme="minorEastAsia" w:hAnsiTheme="minorEastAsia"/>
        </w:rPr>
      </w:pPr>
    </w:p>
    <w:p w:rsidR="006667BB" w:rsidRDefault="006667BB">
      <w:pPr>
        <w:rPr>
          <w:rFonts w:asciiTheme="minorEastAsia" w:hAnsiTheme="minorEastAsia"/>
        </w:rPr>
      </w:pPr>
      <w:r>
        <w:rPr>
          <w:rFonts w:asciiTheme="minorEastAsia" w:hAnsiTheme="minorEastAsia" w:hint="eastAsia"/>
        </w:rPr>
        <w:t xml:space="preserve">　事業継承については、560社（35.1％）</w:t>
      </w:r>
      <w:r w:rsidR="00F86F01">
        <w:rPr>
          <w:rFonts w:asciiTheme="minorEastAsia" w:hAnsiTheme="minorEastAsia" w:hint="eastAsia"/>
        </w:rPr>
        <w:t>で事業継承希望が無く、将来的に廃業を予定している。単純計算で、会員の3分の1の事業所が廃業・消滅することになり、地域経済に大きなダメージが起きることが予想される。</w:t>
      </w:r>
      <w:r w:rsidR="00B96ED9">
        <w:rPr>
          <w:rFonts w:asciiTheme="minorEastAsia" w:hAnsiTheme="minorEastAsia" w:hint="eastAsia"/>
        </w:rPr>
        <w:t>また、</w:t>
      </w:r>
      <w:r w:rsidR="005D1759">
        <w:rPr>
          <w:rFonts w:asciiTheme="minorEastAsia" w:hAnsiTheme="minorEastAsia" w:hint="eastAsia"/>
        </w:rPr>
        <w:t>前項の</w:t>
      </w:r>
      <w:r w:rsidR="00B96ED9">
        <w:rPr>
          <w:rFonts w:asciiTheme="minorEastAsia" w:hAnsiTheme="minorEastAsia" w:hint="eastAsia"/>
        </w:rPr>
        <w:t>経営課題として「事業承継」を挙げているのが136社（4.6％）であることから、既に事業承継が課題ですらなくなっている実態が浮かび上がる。</w:t>
      </w:r>
    </w:p>
    <w:p w:rsidR="00B96ED9" w:rsidRDefault="00B96ED9">
      <w:pPr>
        <w:rPr>
          <w:rFonts w:asciiTheme="minorEastAsia" w:hAnsiTheme="minorEastAsia"/>
        </w:rPr>
      </w:pPr>
      <w:r>
        <w:rPr>
          <w:rFonts w:asciiTheme="minorEastAsia" w:hAnsiTheme="minorEastAsia" w:hint="eastAsia"/>
        </w:rPr>
        <w:t xml:space="preserve">　また事業継続予定の事業所については、希望も含めた身内への後継が半数を超え、会員の多くが地域に根差した企業であることが分かる。そのため、廃業予定の企業の多くが小規模事業所であることが推測されるが、地域経済に与える影響は雇用者数の多少にかかわらず、</w:t>
      </w:r>
      <w:r w:rsidR="00152DA6">
        <w:rPr>
          <w:rFonts w:asciiTheme="minorEastAsia" w:hAnsiTheme="minorEastAsia" w:hint="eastAsia"/>
        </w:rPr>
        <w:t>空洞化を招き、足腰を弱める</w:t>
      </w:r>
      <w:r w:rsidR="004738F7">
        <w:rPr>
          <w:rFonts w:asciiTheme="minorEastAsia" w:hAnsiTheme="minorEastAsia" w:hint="eastAsia"/>
        </w:rPr>
        <w:t>懸念がある</w:t>
      </w:r>
      <w:r w:rsidR="00152DA6">
        <w:rPr>
          <w:rFonts w:asciiTheme="minorEastAsia" w:hAnsiTheme="minorEastAsia" w:hint="eastAsia"/>
        </w:rPr>
        <w:t>。</w:t>
      </w:r>
    </w:p>
    <w:p w:rsidR="006667BB" w:rsidRDefault="006667BB">
      <w:pPr>
        <w:rPr>
          <w:rFonts w:asciiTheme="minorEastAsia" w:hAnsiTheme="minorEastAsia"/>
        </w:rPr>
      </w:pPr>
    </w:p>
    <w:p w:rsidR="001D4C43" w:rsidRPr="001D4C43" w:rsidRDefault="001D4C43">
      <w:pPr>
        <w:rPr>
          <w:rFonts w:asciiTheme="minorEastAsia" w:hAnsiTheme="minorEastAsia"/>
          <w:sz w:val="20"/>
        </w:rPr>
      </w:pPr>
      <w:r w:rsidRPr="001D4C43">
        <w:rPr>
          <w:rFonts w:asciiTheme="majorEastAsia" w:eastAsiaTheme="majorEastAsia" w:hAnsiTheme="majorEastAsia" w:hint="eastAsia"/>
          <w:sz w:val="20"/>
        </w:rPr>
        <w:t>表3.　事業承継および後継者について</w:t>
      </w:r>
    </w:p>
    <w:tbl>
      <w:tblPr>
        <w:tblW w:w="5840" w:type="dxa"/>
        <w:tblInd w:w="84" w:type="dxa"/>
        <w:tblCellMar>
          <w:left w:w="99" w:type="dxa"/>
          <w:right w:w="99" w:type="dxa"/>
        </w:tblCellMar>
        <w:tblLook w:val="04A0" w:firstRow="1" w:lastRow="0" w:firstColumn="1" w:lastColumn="0" w:noHBand="0" w:noVBand="1"/>
      </w:tblPr>
      <w:tblGrid>
        <w:gridCol w:w="204"/>
        <w:gridCol w:w="3522"/>
        <w:gridCol w:w="1060"/>
        <w:gridCol w:w="1180"/>
      </w:tblGrid>
      <w:tr w:rsidR="006667BB" w:rsidRPr="006667BB" w:rsidTr="006667BB">
        <w:trPr>
          <w:trHeight w:val="300"/>
        </w:trPr>
        <w:tc>
          <w:tcPr>
            <w:tcW w:w="3600" w:type="dxa"/>
            <w:gridSpan w:val="2"/>
            <w:tcBorders>
              <w:top w:val="single" w:sz="4" w:space="0" w:color="auto"/>
              <w:left w:val="single" w:sz="4" w:space="0" w:color="auto"/>
              <w:bottom w:val="single" w:sz="4" w:space="0" w:color="auto"/>
              <w:right w:val="nil"/>
            </w:tcBorders>
            <w:shd w:val="clear" w:color="auto" w:fill="auto"/>
            <w:noWrap/>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 xml:space="preserve">　</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rsidR="006667BB" w:rsidRPr="006667BB" w:rsidRDefault="006667BB" w:rsidP="006667BB">
            <w:pPr>
              <w:widowControl/>
              <w:jc w:val="center"/>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件数</w:t>
            </w:r>
          </w:p>
        </w:tc>
        <w:tc>
          <w:tcPr>
            <w:tcW w:w="1180" w:type="dxa"/>
            <w:tcBorders>
              <w:top w:val="single" w:sz="4" w:space="0" w:color="auto"/>
              <w:left w:val="nil"/>
              <w:bottom w:val="nil"/>
              <w:right w:val="single" w:sz="4" w:space="0" w:color="auto"/>
            </w:tcBorders>
            <w:shd w:val="clear" w:color="auto" w:fill="auto"/>
            <w:noWrap/>
            <w:vAlign w:val="center"/>
            <w:hideMark/>
          </w:tcPr>
          <w:p w:rsidR="006667BB" w:rsidRPr="006667BB" w:rsidRDefault="006667BB" w:rsidP="006667BB">
            <w:pPr>
              <w:widowControl/>
              <w:jc w:val="center"/>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率（％）</w:t>
            </w:r>
          </w:p>
        </w:tc>
      </w:tr>
      <w:tr w:rsidR="006667BB" w:rsidRPr="006667BB" w:rsidTr="006667BB">
        <w:trPr>
          <w:trHeight w:val="702"/>
        </w:trPr>
        <w:tc>
          <w:tcPr>
            <w:tcW w:w="3600" w:type="dxa"/>
            <w:gridSpan w:val="2"/>
            <w:tcBorders>
              <w:top w:val="nil"/>
              <w:left w:val="single" w:sz="4" w:space="0" w:color="auto"/>
              <w:bottom w:val="nil"/>
              <w:right w:val="nil"/>
            </w:tcBorders>
            <w:shd w:val="clear" w:color="auto" w:fill="auto"/>
            <w:noWrap/>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現時点で次期後継者がいる</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677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42.4%</w:t>
            </w:r>
          </w:p>
        </w:tc>
      </w:tr>
      <w:tr w:rsidR="006667BB" w:rsidRPr="006667BB" w:rsidTr="006667BB">
        <w:trPr>
          <w:trHeight w:val="402"/>
        </w:trPr>
        <w:tc>
          <w:tcPr>
            <w:tcW w:w="78" w:type="dxa"/>
            <w:tcBorders>
              <w:top w:val="nil"/>
              <w:left w:val="single" w:sz="4" w:space="0" w:color="auto"/>
              <w:bottom w:val="nil"/>
              <w:right w:val="nil"/>
            </w:tcBorders>
            <w:shd w:val="clear" w:color="auto" w:fill="auto"/>
            <w:noWrap/>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 xml:space="preserve">　</w:t>
            </w:r>
          </w:p>
        </w:tc>
        <w:tc>
          <w:tcPr>
            <w:tcW w:w="3522" w:type="dxa"/>
            <w:tcBorders>
              <w:top w:val="single" w:sz="4" w:space="0" w:color="auto"/>
              <w:left w:val="single" w:sz="4" w:space="0" w:color="auto"/>
              <w:bottom w:val="single" w:sz="4" w:space="0" w:color="auto"/>
              <w:right w:val="nil"/>
            </w:tcBorders>
            <w:shd w:val="clear" w:color="auto" w:fill="auto"/>
            <w:noWrap/>
            <w:vAlign w:val="center"/>
            <w:hideMark/>
          </w:tcPr>
          <w:p w:rsidR="006667BB" w:rsidRPr="006667BB" w:rsidRDefault="006667BB" w:rsidP="006667BB">
            <w:pPr>
              <w:widowControl/>
              <w:jc w:val="lef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身内に後継</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593</w:t>
            </w:r>
          </w:p>
        </w:tc>
        <w:tc>
          <w:tcPr>
            <w:tcW w:w="1180" w:type="dxa"/>
            <w:tcBorders>
              <w:top w:val="nil"/>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87.6%</w:t>
            </w:r>
          </w:p>
        </w:tc>
      </w:tr>
      <w:tr w:rsidR="006667BB" w:rsidRPr="006667BB" w:rsidTr="006667BB">
        <w:trPr>
          <w:trHeight w:val="402"/>
        </w:trPr>
        <w:tc>
          <w:tcPr>
            <w:tcW w:w="78" w:type="dxa"/>
            <w:tcBorders>
              <w:top w:val="nil"/>
              <w:left w:val="single" w:sz="4" w:space="0" w:color="auto"/>
              <w:bottom w:val="nil"/>
              <w:right w:val="nil"/>
            </w:tcBorders>
            <w:shd w:val="clear" w:color="auto" w:fill="auto"/>
            <w:noWrap/>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 xml:space="preserve">　</w:t>
            </w:r>
          </w:p>
        </w:tc>
        <w:tc>
          <w:tcPr>
            <w:tcW w:w="3522" w:type="dxa"/>
            <w:tcBorders>
              <w:top w:val="nil"/>
              <w:left w:val="single" w:sz="4" w:space="0" w:color="auto"/>
              <w:bottom w:val="single" w:sz="4" w:space="0" w:color="auto"/>
              <w:right w:val="nil"/>
            </w:tcBorders>
            <w:shd w:val="clear" w:color="auto" w:fill="auto"/>
            <w:noWrap/>
            <w:vAlign w:val="center"/>
            <w:hideMark/>
          </w:tcPr>
          <w:p w:rsidR="006667BB" w:rsidRPr="006667BB" w:rsidRDefault="006667BB" w:rsidP="006667BB">
            <w:pPr>
              <w:widowControl/>
              <w:jc w:val="lef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従業員に後継</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43</w:t>
            </w:r>
          </w:p>
        </w:tc>
        <w:tc>
          <w:tcPr>
            <w:tcW w:w="1180" w:type="dxa"/>
            <w:tcBorders>
              <w:top w:val="nil"/>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6.4%</w:t>
            </w:r>
          </w:p>
        </w:tc>
      </w:tr>
      <w:tr w:rsidR="006667BB" w:rsidRPr="006667BB" w:rsidTr="006667BB">
        <w:trPr>
          <w:trHeight w:val="390"/>
        </w:trPr>
        <w:tc>
          <w:tcPr>
            <w:tcW w:w="78" w:type="dxa"/>
            <w:tcBorders>
              <w:top w:val="nil"/>
              <w:left w:val="single" w:sz="4" w:space="0" w:color="auto"/>
              <w:bottom w:val="nil"/>
              <w:right w:val="nil"/>
            </w:tcBorders>
            <w:shd w:val="clear" w:color="auto" w:fill="auto"/>
            <w:noWrap/>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 xml:space="preserve">　</w:t>
            </w:r>
          </w:p>
        </w:tc>
        <w:tc>
          <w:tcPr>
            <w:tcW w:w="3522" w:type="dxa"/>
            <w:tcBorders>
              <w:top w:val="nil"/>
              <w:left w:val="single" w:sz="4" w:space="0" w:color="auto"/>
              <w:bottom w:val="single" w:sz="4" w:space="0" w:color="auto"/>
              <w:right w:val="nil"/>
            </w:tcBorders>
            <w:shd w:val="clear" w:color="auto" w:fill="auto"/>
            <w:noWrap/>
            <w:vAlign w:val="center"/>
            <w:hideMark/>
          </w:tcPr>
          <w:p w:rsidR="006667BB" w:rsidRPr="006667BB" w:rsidRDefault="006667BB" w:rsidP="006667BB">
            <w:pPr>
              <w:widowControl/>
              <w:jc w:val="lef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第三者に後継</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41</w:t>
            </w:r>
          </w:p>
        </w:tc>
        <w:tc>
          <w:tcPr>
            <w:tcW w:w="1180" w:type="dxa"/>
            <w:tcBorders>
              <w:top w:val="nil"/>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6.1%</w:t>
            </w:r>
          </w:p>
        </w:tc>
      </w:tr>
      <w:tr w:rsidR="006667BB" w:rsidRPr="006667BB" w:rsidTr="006667BB">
        <w:trPr>
          <w:trHeight w:val="702"/>
        </w:trPr>
        <w:tc>
          <w:tcPr>
            <w:tcW w:w="3600" w:type="dxa"/>
            <w:gridSpan w:val="2"/>
            <w:tcBorders>
              <w:top w:val="single" w:sz="4" w:space="0" w:color="auto"/>
              <w:left w:val="single" w:sz="4" w:space="0" w:color="auto"/>
              <w:bottom w:val="single" w:sz="4" w:space="0" w:color="000000"/>
              <w:right w:val="nil"/>
            </w:tcBorders>
            <w:shd w:val="clear" w:color="auto" w:fill="auto"/>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現時点で次期後継者がいないが、</w:t>
            </w:r>
            <w:r w:rsidRPr="006667BB">
              <w:rPr>
                <w:rFonts w:ascii="HGPｺﾞｼｯｸM" w:eastAsia="HGPｺﾞｼｯｸM" w:hAnsi="ＭＳ Ｐゴシック" w:cs="ＭＳ Ｐゴシック" w:hint="eastAsia"/>
                <w:color w:val="000000"/>
                <w:kern w:val="0"/>
                <w:sz w:val="20"/>
              </w:rPr>
              <w:br/>
              <w:t xml:space="preserve">　将来的に事業承継希望あり</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360</w:t>
            </w:r>
          </w:p>
        </w:tc>
        <w:tc>
          <w:tcPr>
            <w:tcW w:w="1180" w:type="dxa"/>
            <w:tcBorders>
              <w:top w:val="nil"/>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22.5%</w:t>
            </w:r>
          </w:p>
        </w:tc>
      </w:tr>
      <w:tr w:rsidR="006667BB" w:rsidRPr="006667BB" w:rsidTr="006667BB">
        <w:trPr>
          <w:trHeight w:val="402"/>
        </w:trPr>
        <w:tc>
          <w:tcPr>
            <w:tcW w:w="78" w:type="dxa"/>
            <w:tcBorders>
              <w:top w:val="nil"/>
              <w:left w:val="single" w:sz="4" w:space="0" w:color="auto"/>
              <w:bottom w:val="nil"/>
              <w:right w:val="single" w:sz="4" w:space="0" w:color="auto"/>
            </w:tcBorders>
            <w:shd w:val="clear" w:color="auto" w:fill="auto"/>
            <w:noWrap/>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 xml:space="preserve">　</w:t>
            </w:r>
          </w:p>
        </w:tc>
        <w:tc>
          <w:tcPr>
            <w:tcW w:w="3522" w:type="dxa"/>
            <w:tcBorders>
              <w:top w:val="nil"/>
              <w:left w:val="nil"/>
              <w:bottom w:val="single" w:sz="4" w:space="0" w:color="auto"/>
              <w:right w:val="nil"/>
            </w:tcBorders>
            <w:shd w:val="clear" w:color="auto" w:fill="auto"/>
            <w:noWrap/>
            <w:vAlign w:val="center"/>
            <w:hideMark/>
          </w:tcPr>
          <w:p w:rsidR="006667BB" w:rsidRPr="006667BB" w:rsidRDefault="006667BB" w:rsidP="006667BB">
            <w:pPr>
              <w:widowControl/>
              <w:jc w:val="lef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身内に承継希望</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266</w:t>
            </w:r>
          </w:p>
        </w:tc>
        <w:tc>
          <w:tcPr>
            <w:tcW w:w="1180" w:type="dxa"/>
            <w:tcBorders>
              <w:top w:val="nil"/>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73.9%</w:t>
            </w:r>
          </w:p>
        </w:tc>
      </w:tr>
      <w:tr w:rsidR="006667BB" w:rsidRPr="006667BB" w:rsidTr="006667BB">
        <w:trPr>
          <w:trHeight w:val="402"/>
        </w:trPr>
        <w:tc>
          <w:tcPr>
            <w:tcW w:w="78" w:type="dxa"/>
            <w:tcBorders>
              <w:top w:val="nil"/>
              <w:left w:val="single" w:sz="4" w:space="0" w:color="auto"/>
              <w:bottom w:val="nil"/>
              <w:right w:val="nil"/>
            </w:tcBorders>
            <w:shd w:val="clear" w:color="auto" w:fill="auto"/>
            <w:noWrap/>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 xml:space="preserve">　</w:t>
            </w:r>
          </w:p>
        </w:tc>
        <w:tc>
          <w:tcPr>
            <w:tcW w:w="3522" w:type="dxa"/>
            <w:tcBorders>
              <w:top w:val="nil"/>
              <w:left w:val="single" w:sz="4" w:space="0" w:color="auto"/>
              <w:bottom w:val="single" w:sz="4" w:space="0" w:color="auto"/>
              <w:right w:val="nil"/>
            </w:tcBorders>
            <w:shd w:val="clear" w:color="auto" w:fill="auto"/>
            <w:noWrap/>
            <w:vAlign w:val="center"/>
            <w:hideMark/>
          </w:tcPr>
          <w:p w:rsidR="006667BB" w:rsidRPr="006667BB" w:rsidRDefault="006667BB" w:rsidP="006667BB">
            <w:pPr>
              <w:widowControl/>
              <w:jc w:val="lef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従業員に承継希望</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71</w:t>
            </w:r>
          </w:p>
        </w:tc>
        <w:tc>
          <w:tcPr>
            <w:tcW w:w="1180" w:type="dxa"/>
            <w:tcBorders>
              <w:top w:val="nil"/>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19.7%</w:t>
            </w:r>
          </w:p>
        </w:tc>
      </w:tr>
      <w:tr w:rsidR="006667BB" w:rsidRPr="006667BB" w:rsidTr="006667BB">
        <w:trPr>
          <w:trHeight w:val="402"/>
        </w:trPr>
        <w:tc>
          <w:tcPr>
            <w:tcW w:w="78" w:type="dxa"/>
            <w:tcBorders>
              <w:top w:val="nil"/>
              <w:left w:val="single" w:sz="4" w:space="0" w:color="auto"/>
              <w:bottom w:val="nil"/>
              <w:right w:val="nil"/>
            </w:tcBorders>
            <w:shd w:val="clear" w:color="auto" w:fill="auto"/>
            <w:noWrap/>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 xml:space="preserve">　</w:t>
            </w:r>
          </w:p>
        </w:tc>
        <w:tc>
          <w:tcPr>
            <w:tcW w:w="3522" w:type="dxa"/>
            <w:tcBorders>
              <w:top w:val="nil"/>
              <w:left w:val="single" w:sz="4" w:space="0" w:color="auto"/>
              <w:bottom w:val="single" w:sz="4" w:space="0" w:color="auto"/>
              <w:right w:val="nil"/>
            </w:tcBorders>
            <w:shd w:val="clear" w:color="auto" w:fill="auto"/>
            <w:noWrap/>
            <w:vAlign w:val="center"/>
            <w:hideMark/>
          </w:tcPr>
          <w:p w:rsidR="006667BB" w:rsidRPr="006667BB" w:rsidRDefault="006667BB" w:rsidP="006667BB">
            <w:pPr>
              <w:widowControl/>
              <w:jc w:val="lef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第三者に承継希望</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23</w:t>
            </w:r>
          </w:p>
        </w:tc>
        <w:tc>
          <w:tcPr>
            <w:tcW w:w="1180" w:type="dxa"/>
            <w:tcBorders>
              <w:top w:val="nil"/>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ＭＳ Ｐ明朝" w:eastAsia="ＭＳ Ｐ明朝" w:hAnsi="ＭＳ Ｐ明朝" w:cs="ＭＳ Ｐゴシック"/>
                <w:color w:val="000000"/>
                <w:kern w:val="0"/>
                <w:sz w:val="20"/>
                <w:szCs w:val="20"/>
              </w:rPr>
            </w:pPr>
            <w:r w:rsidRPr="006667BB">
              <w:rPr>
                <w:rFonts w:ascii="ＭＳ Ｐ明朝" w:eastAsia="ＭＳ Ｐ明朝" w:hAnsi="ＭＳ Ｐ明朝" w:cs="ＭＳ Ｐゴシック" w:hint="eastAsia"/>
                <w:color w:val="000000"/>
                <w:kern w:val="0"/>
                <w:sz w:val="20"/>
                <w:szCs w:val="20"/>
              </w:rPr>
              <w:t>6.4%</w:t>
            </w:r>
          </w:p>
        </w:tc>
      </w:tr>
      <w:tr w:rsidR="006667BB" w:rsidRPr="006667BB" w:rsidTr="006667BB">
        <w:trPr>
          <w:trHeight w:val="702"/>
        </w:trPr>
        <w:tc>
          <w:tcPr>
            <w:tcW w:w="3600" w:type="dxa"/>
            <w:gridSpan w:val="2"/>
            <w:tcBorders>
              <w:top w:val="single" w:sz="4" w:space="0" w:color="auto"/>
              <w:left w:val="single" w:sz="4" w:space="0" w:color="auto"/>
              <w:bottom w:val="single" w:sz="4" w:space="0" w:color="auto"/>
              <w:right w:val="nil"/>
            </w:tcBorders>
            <w:shd w:val="clear" w:color="auto" w:fill="auto"/>
            <w:vAlign w:val="center"/>
            <w:hideMark/>
          </w:tcPr>
          <w:p w:rsidR="006667BB" w:rsidRPr="006667BB" w:rsidRDefault="006667BB" w:rsidP="006667BB">
            <w:pPr>
              <w:widowControl/>
              <w:jc w:val="lef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次期後継者・事業承継希望なし</w:t>
            </w:r>
            <w:r w:rsidRPr="006667BB">
              <w:rPr>
                <w:rFonts w:ascii="HGPｺﾞｼｯｸM" w:eastAsia="HGPｺﾞｼｯｸM" w:hAnsi="ＭＳ Ｐゴシック" w:cs="ＭＳ Ｐゴシック" w:hint="eastAsia"/>
                <w:color w:val="000000"/>
                <w:kern w:val="0"/>
                <w:sz w:val="20"/>
              </w:rPr>
              <w:br/>
              <w:t xml:space="preserve">　（将来的に廃業予定）</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560</w:t>
            </w:r>
          </w:p>
        </w:tc>
        <w:tc>
          <w:tcPr>
            <w:tcW w:w="1180" w:type="dxa"/>
            <w:tcBorders>
              <w:top w:val="nil"/>
              <w:left w:val="nil"/>
              <w:bottom w:val="single" w:sz="4" w:space="0" w:color="auto"/>
              <w:right w:val="single" w:sz="4" w:space="0" w:color="auto"/>
            </w:tcBorders>
            <w:shd w:val="clear" w:color="auto" w:fill="auto"/>
            <w:noWrap/>
            <w:vAlign w:val="center"/>
            <w:hideMark/>
          </w:tcPr>
          <w:p w:rsidR="006667BB" w:rsidRPr="006667BB" w:rsidRDefault="006667BB" w:rsidP="006667BB">
            <w:pPr>
              <w:widowControl/>
              <w:jc w:val="right"/>
              <w:rPr>
                <w:rFonts w:ascii="HGPｺﾞｼｯｸM" w:eastAsia="HGPｺﾞｼｯｸM" w:hAnsi="ＭＳ Ｐゴシック" w:cs="ＭＳ Ｐゴシック"/>
                <w:color w:val="000000"/>
                <w:kern w:val="0"/>
                <w:sz w:val="20"/>
              </w:rPr>
            </w:pPr>
            <w:r w:rsidRPr="006667BB">
              <w:rPr>
                <w:rFonts w:ascii="HGPｺﾞｼｯｸM" w:eastAsia="HGPｺﾞｼｯｸM" w:hAnsi="ＭＳ Ｐゴシック" w:cs="ＭＳ Ｐゴシック" w:hint="eastAsia"/>
                <w:color w:val="000000"/>
                <w:kern w:val="0"/>
                <w:sz w:val="20"/>
              </w:rPr>
              <w:t>35.1%</w:t>
            </w:r>
          </w:p>
        </w:tc>
      </w:tr>
    </w:tbl>
    <w:p w:rsidR="00636F73" w:rsidRDefault="00636F73">
      <w:pPr>
        <w:rPr>
          <w:rFonts w:asciiTheme="minorEastAsia" w:hAnsiTheme="minorEastAsia"/>
        </w:rPr>
      </w:pPr>
    </w:p>
    <w:p w:rsidR="00DA3E88" w:rsidRDefault="00DA3E88">
      <w:pPr>
        <w:rPr>
          <w:rFonts w:asciiTheme="minorEastAsia" w:hAnsiTheme="minorEastAsia"/>
        </w:rPr>
      </w:pPr>
      <w:r>
        <w:rPr>
          <w:rFonts w:asciiTheme="minorEastAsia" w:hAnsiTheme="minorEastAsia" w:hint="eastAsia"/>
        </w:rPr>
        <w:t xml:space="preserve">　</w:t>
      </w:r>
      <w:r w:rsidR="001D4C43">
        <w:rPr>
          <w:rFonts w:asciiTheme="minorEastAsia" w:hAnsiTheme="minorEastAsia" w:hint="eastAsia"/>
        </w:rPr>
        <w:t>業種別にみると、「</w:t>
      </w:r>
      <w:r w:rsidR="001D4C43" w:rsidRPr="001D4C43">
        <w:rPr>
          <w:rFonts w:asciiTheme="minorEastAsia" w:hAnsiTheme="minorEastAsia" w:hint="eastAsia"/>
        </w:rPr>
        <w:t>次期後継者・事業承継希望なし</w:t>
      </w:r>
      <w:r w:rsidR="001D4C43">
        <w:rPr>
          <w:rFonts w:asciiTheme="minorEastAsia" w:hAnsiTheme="minorEastAsia" w:hint="eastAsia"/>
        </w:rPr>
        <w:t>」の割合が高いのは、「理美容業」（55.2％）、「飲食業」（47.1％）、「卸小売業」（39.5％）が高く、平均を上回っている。業種的に小規模・個人経営の事業所が多く、</w:t>
      </w:r>
      <w:r w:rsidR="00313D57">
        <w:rPr>
          <w:rFonts w:asciiTheme="minorEastAsia" w:hAnsiTheme="minorEastAsia" w:hint="eastAsia"/>
        </w:rPr>
        <w:t>後継ぎがいないために</w:t>
      </w:r>
      <w:r w:rsidR="001D4C43">
        <w:rPr>
          <w:rFonts w:asciiTheme="minorEastAsia" w:hAnsiTheme="minorEastAsia" w:hint="eastAsia"/>
        </w:rPr>
        <w:t>自分の代で</w:t>
      </w:r>
      <w:r w:rsidR="00232D21">
        <w:rPr>
          <w:rFonts w:asciiTheme="minorEastAsia" w:hAnsiTheme="minorEastAsia" w:hint="eastAsia"/>
        </w:rPr>
        <w:t>事業を終了する予定</w:t>
      </w:r>
      <w:r w:rsidR="001D4C43">
        <w:rPr>
          <w:rFonts w:asciiTheme="minorEastAsia" w:hAnsiTheme="minorEastAsia" w:hint="eastAsia"/>
        </w:rPr>
        <w:t>にしていることが分かる。</w:t>
      </w:r>
    </w:p>
    <w:p w:rsidR="001D4C43" w:rsidRDefault="001D4C43">
      <w:pPr>
        <w:rPr>
          <w:rFonts w:asciiTheme="minorEastAsia" w:hAnsiTheme="minorEastAsia"/>
        </w:rPr>
      </w:pPr>
    </w:p>
    <w:p w:rsidR="000A38F7" w:rsidRDefault="000A38F7">
      <w:pPr>
        <w:rPr>
          <w:rFonts w:asciiTheme="minorEastAsia" w:hAnsiTheme="minorEastAsia" w:hint="eastAsia"/>
        </w:rPr>
      </w:pPr>
    </w:p>
    <w:p w:rsidR="00313D57" w:rsidRDefault="00313D57">
      <w:pPr>
        <w:widowControl/>
        <w:jc w:val="left"/>
        <w:rPr>
          <w:rFonts w:asciiTheme="minorEastAsia" w:hAnsiTheme="minorEastAsia"/>
        </w:rPr>
      </w:pPr>
      <w:r>
        <w:rPr>
          <w:rFonts w:asciiTheme="minorEastAsia" w:hAnsiTheme="minorEastAsia"/>
        </w:rPr>
        <w:br w:type="page"/>
      </w:r>
    </w:p>
    <w:p w:rsidR="0028376D" w:rsidRPr="00EF2B96" w:rsidRDefault="0028376D">
      <w:pPr>
        <w:rPr>
          <w:rFonts w:asciiTheme="majorEastAsia" w:eastAsiaTheme="majorEastAsia" w:hAnsiTheme="majorEastAsia"/>
          <w:sz w:val="22"/>
        </w:rPr>
      </w:pPr>
      <w:r w:rsidRPr="00EF2B96">
        <w:rPr>
          <w:rFonts w:asciiTheme="majorEastAsia" w:eastAsiaTheme="majorEastAsia" w:hAnsiTheme="majorEastAsia" w:hint="eastAsia"/>
          <w:sz w:val="22"/>
        </w:rPr>
        <w:lastRenderedPageBreak/>
        <w:t>4．市場状況・今後の予測・販売促進策</w:t>
      </w:r>
    </w:p>
    <w:p w:rsidR="0028376D" w:rsidRDefault="0028376D">
      <w:pPr>
        <w:rPr>
          <w:rFonts w:asciiTheme="minorEastAsia" w:hAnsiTheme="minorEastAsia"/>
        </w:rPr>
      </w:pPr>
    </w:p>
    <w:p w:rsidR="00E0772D" w:rsidRDefault="00CA56BE">
      <w:pPr>
        <w:rPr>
          <w:rFonts w:asciiTheme="minorEastAsia" w:hAnsiTheme="minorEastAsia"/>
        </w:rPr>
      </w:pPr>
      <w:r w:rsidRPr="00271BA6">
        <w:rPr>
          <w:rFonts w:asciiTheme="minorEastAsia" w:hAnsiTheme="minorEastAsia" w:hint="eastAsia"/>
        </w:rPr>
        <w:t xml:space="preserve">　</w:t>
      </w:r>
      <w:r w:rsidR="00232D21">
        <w:rPr>
          <w:rFonts w:asciiTheme="minorEastAsia" w:hAnsiTheme="minorEastAsia" w:hint="eastAsia"/>
        </w:rPr>
        <w:t>市場の状況</w:t>
      </w:r>
      <w:r w:rsidR="00FA1267">
        <w:rPr>
          <w:rFonts w:asciiTheme="minorEastAsia" w:hAnsiTheme="minorEastAsia" w:hint="eastAsia"/>
        </w:rPr>
        <w:t>について「良好」（8.1％）に対し「厳しい」（38.6％）、さらに</w:t>
      </w:r>
      <w:r w:rsidR="00232D21">
        <w:rPr>
          <w:rFonts w:asciiTheme="minorEastAsia" w:hAnsiTheme="minorEastAsia" w:hint="eastAsia"/>
        </w:rPr>
        <w:t>今後の予測について</w:t>
      </w:r>
      <w:r w:rsidR="00FA1267">
        <w:rPr>
          <w:rFonts w:asciiTheme="minorEastAsia" w:hAnsiTheme="minorEastAsia" w:hint="eastAsia"/>
        </w:rPr>
        <w:t>は「好転」3.2％に対し「悪化」が31.4％となっており、多くの事業所が景況に厳しい見方をしていることが明らかになった。ただし、最も多い回答がその中間であり、</w:t>
      </w:r>
      <w:r w:rsidR="00C113A8">
        <w:rPr>
          <w:rFonts w:asciiTheme="minorEastAsia" w:hAnsiTheme="minorEastAsia" w:hint="eastAsia"/>
        </w:rPr>
        <w:t>急激な悪化というよりは、悪化の方向へ徐々に進んでいる可能性があり</w:t>
      </w:r>
      <w:r w:rsidR="005D1759">
        <w:rPr>
          <w:rFonts w:asciiTheme="minorEastAsia" w:hAnsiTheme="minorEastAsia" w:hint="eastAsia"/>
        </w:rPr>
        <w:t>、</w:t>
      </w:r>
      <w:r w:rsidR="00C113A8">
        <w:rPr>
          <w:rFonts w:asciiTheme="minorEastAsia" w:hAnsiTheme="minorEastAsia" w:hint="eastAsia"/>
        </w:rPr>
        <w:t>注視していく必要があると考えられる。</w:t>
      </w:r>
    </w:p>
    <w:p w:rsidR="00C113A8" w:rsidRDefault="00C113A8">
      <w:pPr>
        <w:rPr>
          <w:rFonts w:asciiTheme="minorEastAsia" w:hAnsiTheme="minorEastAsia" w:hint="eastAsia"/>
        </w:rPr>
      </w:pPr>
      <w:r>
        <w:rPr>
          <w:rFonts w:asciiTheme="minorEastAsia" w:hAnsiTheme="minorEastAsia" w:hint="eastAsia"/>
        </w:rPr>
        <w:t xml:space="preserve">　</w:t>
      </w:r>
      <w:r w:rsidR="00030A28">
        <w:rPr>
          <w:rFonts w:asciiTheme="minorEastAsia" w:hAnsiTheme="minorEastAsia" w:hint="eastAsia"/>
        </w:rPr>
        <w:t>ただし</w:t>
      </w:r>
      <w:r w:rsidR="005D1759">
        <w:rPr>
          <w:rFonts w:asciiTheme="minorEastAsia" w:hAnsiTheme="minorEastAsia" w:hint="eastAsia"/>
        </w:rPr>
        <w:t>最も注目すべきは、今後の販売促進策が「有</w:t>
      </w:r>
      <w:r w:rsidR="00C43B75">
        <w:rPr>
          <w:rFonts w:asciiTheme="minorEastAsia" w:hAnsiTheme="minorEastAsia" w:hint="eastAsia"/>
        </w:rPr>
        <w:t>」が10.8</w:t>
      </w:r>
      <w:r w:rsidR="005D1759">
        <w:rPr>
          <w:rFonts w:asciiTheme="minorEastAsia" w:hAnsiTheme="minorEastAsia" w:hint="eastAsia"/>
        </w:rPr>
        <w:t>％、「無</w:t>
      </w:r>
      <w:r w:rsidR="00C43B75">
        <w:rPr>
          <w:rFonts w:asciiTheme="minorEastAsia" w:hAnsiTheme="minorEastAsia" w:hint="eastAsia"/>
        </w:rPr>
        <w:t>」が89.2％となっており、実に9割</w:t>
      </w:r>
      <w:r w:rsidR="00030A28">
        <w:rPr>
          <w:rFonts w:asciiTheme="minorEastAsia" w:hAnsiTheme="minorEastAsia" w:hint="eastAsia"/>
        </w:rPr>
        <w:t>の事業所で販売促進</w:t>
      </w:r>
      <w:r w:rsidR="00C43B75">
        <w:rPr>
          <w:rFonts w:asciiTheme="minorEastAsia" w:hAnsiTheme="minorEastAsia" w:hint="eastAsia"/>
        </w:rPr>
        <w:t>策がないということが明らかになった。</w:t>
      </w:r>
      <w:r w:rsidR="00030A28">
        <w:rPr>
          <w:rFonts w:asciiTheme="minorEastAsia" w:hAnsiTheme="minorEastAsia" w:hint="eastAsia"/>
        </w:rPr>
        <w:t>これは、経営が厳しいと認識している企業を含め、多くの事業所で今後の展望が開けず、また、前項</w:t>
      </w:r>
      <w:r w:rsidR="005D1759">
        <w:rPr>
          <w:rFonts w:asciiTheme="minorEastAsia" w:hAnsiTheme="minorEastAsia" w:hint="eastAsia"/>
        </w:rPr>
        <w:t>の</w:t>
      </w:r>
      <w:r w:rsidR="00030A28">
        <w:rPr>
          <w:rFonts w:asciiTheme="minorEastAsia" w:hAnsiTheme="minorEastAsia" w:hint="eastAsia"/>
        </w:rPr>
        <w:t>「将来的に廃業」の割合を大きく上回っていることから、今後は全体的にさらに厳しい状況になっていく恐れがある。</w:t>
      </w:r>
    </w:p>
    <w:p w:rsidR="00313D57" w:rsidRDefault="00313D57">
      <w:pPr>
        <w:rPr>
          <w:rFonts w:asciiTheme="minorEastAsia" w:hAnsiTheme="minorEastAsia"/>
        </w:rPr>
      </w:pPr>
    </w:p>
    <w:p w:rsidR="00313D57" w:rsidRPr="00313D57" w:rsidRDefault="00313D57" w:rsidP="00313D57">
      <w:pPr>
        <w:rPr>
          <w:rFonts w:asciiTheme="majorEastAsia" w:eastAsiaTheme="majorEastAsia" w:hAnsiTheme="majorEastAsia"/>
          <w:sz w:val="20"/>
        </w:rPr>
      </w:pPr>
      <w:r w:rsidRPr="00313D57">
        <w:rPr>
          <w:rFonts w:asciiTheme="majorEastAsia" w:eastAsiaTheme="majorEastAsia" w:hAnsiTheme="majorEastAsia" w:hint="eastAsia"/>
          <w:sz w:val="20"/>
        </w:rPr>
        <w:t>表4．市場状況・今後の予測・販売促進策</w:t>
      </w:r>
    </w:p>
    <w:tbl>
      <w:tblPr>
        <w:tblW w:w="4207" w:type="dxa"/>
        <w:tblInd w:w="84" w:type="dxa"/>
        <w:tblCellMar>
          <w:left w:w="99" w:type="dxa"/>
          <w:right w:w="99" w:type="dxa"/>
        </w:tblCellMar>
        <w:tblLook w:val="04A0" w:firstRow="1" w:lastRow="0" w:firstColumn="1" w:lastColumn="0" w:noHBand="0" w:noVBand="1"/>
      </w:tblPr>
      <w:tblGrid>
        <w:gridCol w:w="204"/>
        <w:gridCol w:w="1763"/>
        <w:gridCol w:w="1060"/>
        <w:gridCol w:w="1180"/>
      </w:tblGrid>
      <w:tr w:rsidR="00030A28" w:rsidRPr="00EF2B96" w:rsidTr="00EF2B96">
        <w:trPr>
          <w:trHeight w:val="273"/>
        </w:trPr>
        <w:tc>
          <w:tcPr>
            <w:tcW w:w="1967" w:type="dxa"/>
            <w:gridSpan w:val="2"/>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E" w:eastAsia="HGPｺﾞｼｯｸE" w:hAnsi="HGPｺﾞｼｯｸE" w:cs="ＭＳ Ｐゴシック"/>
                <w:color w:val="000000"/>
                <w:kern w:val="0"/>
                <w:sz w:val="20"/>
                <w:szCs w:val="20"/>
              </w:rPr>
            </w:pPr>
            <w:r w:rsidRPr="00EF2B96">
              <w:rPr>
                <w:rFonts w:ascii="HGPｺﾞｼｯｸE" w:eastAsia="HGPｺﾞｼｯｸE" w:hAnsi="HGPｺﾞｼｯｸE" w:cs="ＭＳ Ｐゴシック" w:hint="eastAsia"/>
                <w:color w:val="000000"/>
                <w:kern w:val="0"/>
                <w:sz w:val="20"/>
                <w:szCs w:val="20"/>
              </w:rPr>
              <w:t>①市場の状況</w:t>
            </w:r>
          </w:p>
        </w:tc>
        <w:tc>
          <w:tcPr>
            <w:tcW w:w="1060"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180"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r>
      <w:tr w:rsidR="00030A28" w:rsidRPr="00EF2B96" w:rsidTr="005F2C2A">
        <w:trPr>
          <w:trHeight w:val="300"/>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center"/>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件数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center"/>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率（％）</w:t>
            </w:r>
          </w:p>
        </w:tc>
      </w:tr>
      <w:tr w:rsidR="00030A28" w:rsidRPr="00EF2B96" w:rsidTr="00EF2B96">
        <w:trPr>
          <w:trHeight w:val="203"/>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良好</w:t>
            </w:r>
          </w:p>
        </w:tc>
        <w:tc>
          <w:tcPr>
            <w:tcW w:w="106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130</w:t>
            </w:r>
          </w:p>
        </w:tc>
        <w:tc>
          <w:tcPr>
            <w:tcW w:w="118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8.1%</w:t>
            </w:r>
          </w:p>
        </w:tc>
      </w:tr>
      <w:tr w:rsidR="00030A28" w:rsidRPr="00EF2B96" w:rsidTr="00EF2B96">
        <w:trPr>
          <w:trHeight w:val="223"/>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普通</w:t>
            </w:r>
          </w:p>
        </w:tc>
        <w:tc>
          <w:tcPr>
            <w:tcW w:w="106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851</w:t>
            </w:r>
          </w:p>
        </w:tc>
        <w:tc>
          <w:tcPr>
            <w:tcW w:w="118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53.3%</w:t>
            </w:r>
          </w:p>
        </w:tc>
      </w:tr>
      <w:tr w:rsidR="00030A28" w:rsidRPr="00EF2B96" w:rsidTr="00EF2B96">
        <w:trPr>
          <w:trHeight w:val="185"/>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厳しい</w:t>
            </w:r>
          </w:p>
        </w:tc>
        <w:tc>
          <w:tcPr>
            <w:tcW w:w="106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616</w:t>
            </w:r>
          </w:p>
        </w:tc>
        <w:tc>
          <w:tcPr>
            <w:tcW w:w="118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38.6%</w:t>
            </w:r>
          </w:p>
        </w:tc>
      </w:tr>
      <w:tr w:rsidR="00030A28" w:rsidRPr="00EF2B96" w:rsidTr="00313D57">
        <w:trPr>
          <w:trHeight w:val="187"/>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060"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180"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r>
      <w:tr w:rsidR="00030A28" w:rsidRPr="00EF2B96" w:rsidTr="00EF2B96">
        <w:trPr>
          <w:trHeight w:val="189"/>
        </w:trPr>
        <w:tc>
          <w:tcPr>
            <w:tcW w:w="1967" w:type="dxa"/>
            <w:gridSpan w:val="2"/>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E" w:eastAsia="HGPｺﾞｼｯｸE" w:hAnsi="HGPｺﾞｼｯｸE" w:cs="ＭＳ Ｐゴシック"/>
                <w:color w:val="000000"/>
                <w:kern w:val="0"/>
                <w:sz w:val="20"/>
                <w:szCs w:val="20"/>
              </w:rPr>
            </w:pPr>
            <w:r w:rsidRPr="00EF2B96">
              <w:rPr>
                <w:rFonts w:ascii="HGPｺﾞｼｯｸE" w:eastAsia="HGPｺﾞｼｯｸE" w:hAnsi="HGPｺﾞｼｯｸE" w:cs="ＭＳ Ｐゴシック" w:hint="eastAsia"/>
                <w:color w:val="000000"/>
                <w:kern w:val="0"/>
                <w:sz w:val="20"/>
                <w:szCs w:val="20"/>
              </w:rPr>
              <w:t>②今後の予測</w:t>
            </w:r>
          </w:p>
        </w:tc>
        <w:tc>
          <w:tcPr>
            <w:tcW w:w="1060"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180"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r>
      <w:tr w:rsidR="00030A28" w:rsidRPr="00EF2B96" w:rsidTr="00EF2B96">
        <w:trPr>
          <w:trHeight w:val="341"/>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center"/>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件数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center"/>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率（％）</w:t>
            </w:r>
          </w:p>
        </w:tc>
      </w:tr>
      <w:tr w:rsidR="00030A28" w:rsidRPr="00EF2B96" w:rsidTr="00EF2B96">
        <w:trPr>
          <w:trHeight w:val="247"/>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好転</w:t>
            </w:r>
          </w:p>
        </w:tc>
        <w:tc>
          <w:tcPr>
            <w:tcW w:w="106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51</w:t>
            </w:r>
          </w:p>
        </w:tc>
        <w:tc>
          <w:tcPr>
            <w:tcW w:w="118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3.2%</w:t>
            </w:r>
          </w:p>
        </w:tc>
      </w:tr>
      <w:tr w:rsidR="00030A28" w:rsidRPr="00EF2B96" w:rsidTr="00EF2B96">
        <w:trPr>
          <w:trHeight w:val="267"/>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変化なし</w:t>
            </w:r>
          </w:p>
        </w:tc>
        <w:tc>
          <w:tcPr>
            <w:tcW w:w="106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1,045</w:t>
            </w:r>
          </w:p>
        </w:tc>
        <w:tc>
          <w:tcPr>
            <w:tcW w:w="118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65.4%</w:t>
            </w:r>
          </w:p>
        </w:tc>
      </w:tr>
      <w:tr w:rsidR="00030A28" w:rsidRPr="00EF2B96" w:rsidTr="00EF2B96">
        <w:trPr>
          <w:trHeight w:val="273"/>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悪化</w:t>
            </w:r>
          </w:p>
        </w:tc>
        <w:tc>
          <w:tcPr>
            <w:tcW w:w="106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501</w:t>
            </w:r>
          </w:p>
        </w:tc>
        <w:tc>
          <w:tcPr>
            <w:tcW w:w="1180" w:type="dxa"/>
            <w:tcBorders>
              <w:top w:val="nil"/>
              <w:left w:val="nil"/>
              <w:bottom w:val="single" w:sz="4" w:space="0" w:color="auto"/>
              <w:right w:val="single" w:sz="4" w:space="0" w:color="auto"/>
            </w:tcBorders>
            <w:shd w:val="clear" w:color="auto" w:fill="auto"/>
            <w:noWrap/>
            <w:vAlign w:val="center"/>
            <w:hideMark/>
          </w:tcPr>
          <w:p w:rsidR="00030A28" w:rsidRPr="00EF2B96" w:rsidRDefault="00030A28" w:rsidP="00030A28">
            <w:pPr>
              <w:widowControl/>
              <w:jc w:val="right"/>
              <w:rPr>
                <w:rFonts w:ascii="HGPｺﾞｼｯｸM" w:eastAsia="HGPｺﾞｼｯｸM" w:hAnsi="ＭＳ Ｐゴシック" w:cs="ＭＳ Ｐゴシック"/>
                <w:color w:val="000000"/>
                <w:kern w:val="0"/>
                <w:sz w:val="20"/>
                <w:szCs w:val="20"/>
              </w:rPr>
            </w:pPr>
            <w:r w:rsidRPr="00EF2B96">
              <w:rPr>
                <w:rFonts w:ascii="HGPｺﾞｼｯｸM" w:eastAsia="HGPｺﾞｼｯｸM" w:hAnsi="ＭＳ Ｐゴシック" w:cs="ＭＳ Ｐゴシック" w:hint="eastAsia"/>
                <w:color w:val="000000"/>
                <w:kern w:val="0"/>
                <w:sz w:val="20"/>
                <w:szCs w:val="20"/>
              </w:rPr>
              <w:t>31.4%</w:t>
            </w:r>
          </w:p>
        </w:tc>
      </w:tr>
      <w:tr w:rsidR="00030A28" w:rsidRPr="00EF2B96" w:rsidTr="00EF2B96">
        <w:trPr>
          <w:trHeight w:val="283"/>
        </w:trPr>
        <w:tc>
          <w:tcPr>
            <w:tcW w:w="204"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rPr>
            </w:pPr>
          </w:p>
        </w:tc>
        <w:tc>
          <w:tcPr>
            <w:tcW w:w="1763"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rPr>
            </w:pPr>
          </w:p>
        </w:tc>
        <w:tc>
          <w:tcPr>
            <w:tcW w:w="1060"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rPr>
            </w:pPr>
          </w:p>
        </w:tc>
        <w:tc>
          <w:tcPr>
            <w:tcW w:w="1180" w:type="dxa"/>
            <w:tcBorders>
              <w:top w:val="nil"/>
              <w:left w:val="nil"/>
              <w:bottom w:val="nil"/>
              <w:right w:val="nil"/>
            </w:tcBorders>
            <w:shd w:val="clear" w:color="auto" w:fill="auto"/>
            <w:noWrap/>
            <w:vAlign w:val="center"/>
            <w:hideMark/>
          </w:tcPr>
          <w:p w:rsidR="00030A28" w:rsidRPr="00EF2B96" w:rsidRDefault="00030A28" w:rsidP="00030A28">
            <w:pPr>
              <w:widowControl/>
              <w:jc w:val="left"/>
              <w:rPr>
                <w:rFonts w:ascii="HGPｺﾞｼｯｸM" w:eastAsia="HGPｺﾞｼｯｸM" w:hAnsi="ＭＳ Ｐゴシック" w:cs="ＭＳ Ｐゴシック"/>
                <w:color w:val="000000"/>
                <w:kern w:val="0"/>
                <w:sz w:val="20"/>
              </w:rPr>
            </w:pPr>
          </w:p>
        </w:tc>
      </w:tr>
      <w:tr w:rsidR="00030A28" w:rsidRPr="00313D57" w:rsidTr="00313D57">
        <w:trPr>
          <w:trHeight w:val="341"/>
        </w:trPr>
        <w:tc>
          <w:tcPr>
            <w:tcW w:w="3027" w:type="dxa"/>
            <w:gridSpan w:val="3"/>
            <w:tcBorders>
              <w:top w:val="nil"/>
              <w:left w:val="nil"/>
              <w:bottom w:val="nil"/>
              <w:right w:val="nil"/>
            </w:tcBorders>
            <w:shd w:val="clear" w:color="auto" w:fill="auto"/>
            <w:noWrap/>
            <w:vAlign w:val="center"/>
            <w:hideMark/>
          </w:tcPr>
          <w:p w:rsidR="00030A28" w:rsidRPr="00313D57" w:rsidRDefault="00030A28" w:rsidP="00030A28">
            <w:pPr>
              <w:widowControl/>
              <w:jc w:val="left"/>
              <w:rPr>
                <w:rFonts w:ascii="HGPｺﾞｼｯｸE" w:eastAsia="HGPｺﾞｼｯｸE" w:hAnsi="HGPｺﾞｼｯｸE" w:cs="ＭＳ Ｐゴシック"/>
                <w:color w:val="000000"/>
                <w:kern w:val="0"/>
                <w:sz w:val="20"/>
                <w:szCs w:val="24"/>
              </w:rPr>
            </w:pPr>
            <w:r w:rsidRPr="00313D57">
              <w:rPr>
                <w:rFonts w:ascii="HGPｺﾞｼｯｸE" w:eastAsia="HGPｺﾞｼｯｸE" w:hAnsi="HGPｺﾞｼｯｸE" w:cs="ＭＳ Ｐゴシック" w:hint="eastAsia"/>
                <w:color w:val="000000"/>
                <w:kern w:val="0"/>
                <w:sz w:val="20"/>
                <w:szCs w:val="24"/>
              </w:rPr>
              <w:t>③今後の販促策の有無</w:t>
            </w:r>
          </w:p>
        </w:tc>
        <w:tc>
          <w:tcPr>
            <w:tcW w:w="1180" w:type="dxa"/>
            <w:tcBorders>
              <w:top w:val="nil"/>
              <w:left w:val="nil"/>
              <w:bottom w:val="nil"/>
              <w:right w:val="nil"/>
            </w:tcBorders>
            <w:shd w:val="clear" w:color="auto" w:fill="auto"/>
            <w:noWrap/>
            <w:vAlign w:val="center"/>
            <w:hideMark/>
          </w:tcPr>
          <w:p w:rsidR="00030A28" w:rsidRPr="00313D57" w:rsidRDefault="00030A28" w:rsidP="00030A28">
            <w:pPr>
              <w:widowControl/>
              <w:jc w:val="left"/>
              <w:rPr>
                <w:rFonts w:ascii="HGPｺﾞｼｯｸM" w:eastAsia="HGPｺﾞｼｯｸM" w:hAnsi="ＭＳ Ｐゴシック" w:cs="ＭＳ Ｐゴシック"/>
                <w:color w:val="000000"/>
                <w:kern w:val="0"/>
                <w:sz w:val="20"/>
              </w:rPr>
            </w:pPr>
          </w:p>
        </w:tc>
      </w:tr>
      <w:tr w:rsidR="00030A28" w:rsidRPr="00030A28" w:rsidTr="005F2C2A">
        <w:trPr>
          <w:trHeight w:val="300"/>
        </w:trPr>
        <w:tc>
          <w:tcPr>
            <w:tcW w:w="204" w:type="dxa"/>
            <w:tcBorders>
              <w:top w:val="nil"/>
              <w:left w:val="nil"/>
              <w:bottom w:val="nil"/>
              <w:right w:val="nil"/>
            </w:tcBorders>
            <w:shd w:val="clear" w:color="auto" w:fill="auto"/>
            <w:noWrap/>
            <w:vAlign w:val="center"/>
            <w:hideMark/>
          </w:tcPr>
          <w:p w:rsidR="00030A28" w:rsidRPr="00030A28" w:rsidRDefault="00030A28" w:rsidP="00030A28">
            <w:pPr>
              <w:widowControl/>
              <w:jc w:val="left"/>
              <w:rPr>
                <w:rFonts w:ascii="HGPｺﾞｼｯｸM" w:eastAsia="HGPｺﾞｼｯｸM" w:hAnsi="ＭＳ Ｐゴシック" w:cs="ＭＳ Ｐゴシック"/>
                <w:color w:val="000000"/>
                <w:kern w:val="0"/>
                <w:sz w:val="22"/>
              </w:rPr>
            </w:pPr>
          </w:p>
        </w:tc>
        <w:tc>
          <w:tcPr>
            <w:tcW w:w="1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A28" w:rsidRPr="00030A28" w:rsidRDefault="00030A28" w:rsidP="00030A28">
            <w:pPr>
              <w:widowControl/>
              <w:jc w:val="left"/>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30A28" w:rsidRPr="00030A28" w:rsidRDefault="00030A28" w:rsidP="00030A28">
            <w:pPr>
              <w:widowControl/>
              <w:jc w:val="center"/>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件数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30A28" w:rsidRPr="00030A28" w:rsidRDefault="00030A28" w:rsidP="00030A28">
            <w:pPr>
              <w:widowControl/>
              <w:jc w:val="center"/>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率（％）</w:t>
            </w:r>
          </w:p>
        </w:tc>
      </w:tr>
      <w:tr w:rsidR="00030A28" w:rsidRPr="00030A28" w:rsidTr="00313D57">
        <w:trPr>
          <w:trHeight w:val="171"/>
        </w:trPr>
        <w:tc>
          <w:tcPr>
            <w:tcW w:w="204" w:type="dxa"/>
            <w:tcBorders>
              <w:top w:val="nil"/>
              <w:left w:val="nil"/>
              <w:bottom w:val="nil"/>
              <w:right w:val="nil"/>
            </w:tcBorders>
            <w:shd w:val="clear" w:color="auto" w:fill="auto"/>
            <w:noWrap/>
            <w:vAlign w:val="center"/>
            <w:hideMark/>
          </w:tcPr>
          <w:p w:rsidR="00030A28" w:rsidRPr="00030A28" w:rsidRDefault="00030A28" w:rsidP="00030A28">
            <w:pPr>
              <w:widowControl/>
              <w:jc w:val="left"/>
              <w:rPr>
                <w:rFonts w:ascii="HGPｺﾞｼｯｸM" w:eastAsia="HGPｺﾞｼｯｸM" w:hAnsi="ＭＳ Ｐゴシック" w:cs="ＭＳ Ｐゴシック"/>
                <w:color w:val="000000"/>
                <w:kern w:val="0"/>
                <w:sz w:val="22"/>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030A28" w:rsidRPr="00030A28" w:rsidRDefault="00030A28" w:rsidP="00030A28">
            <w:pPr>
              <w:widowControl/>
              <w:jc w:val="left"/>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有</w:t>
            </w:r>
          </w:p>
        </w:tc>
        <w:tc>
          <w:tcPr>
            <w:tcW w:w="1060" w:type="dxa"/>
            <w:tcBorders>
              <w:top w:val="nil"/>
              <w:left w:val="nil"/>
              <w:bottom w:val="single" w:sz="4" w:space="0" w:color="auto"/>
              <w:right w:val="single" w:sz="4" w:space="0" w:color="auto"/>
            </w:tcBorders>
            <w:shd w:val="clear" w:color="auto" w:fill="auto"/>
            <w:noWrap/>
            <w:vAlign w:val="center"/>
            <w:hideMark/>
          </w:tcPr>
          <w:p w:rsidR="00030A28" w:rsidRPr="00030A28" w:rsidRDefault="00030A28" w:rsidP="00030A28">
            <w:pPr>
              <w:widowControl/>
              <w:jc w:val="right"/>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173</w:t>
            </w:r>
          </w:p>
        </w:tc>
        <w:tc>
          <w:tcPr>
            <w:tcW w:w="1180" w:type="dxa"/>
            <w:tcBorders>
              <w:top w:val="nil"/>
              <w:left w:val="nil"/>
              <w:bottom w:val="single" w:sz="4" w:space="0" w:color="auto"/>
              <w:right w:val="single" w:sz="4" w:space="0" w:color="auto"/>
            </w:tcBorders>
            <w:shd w:val="clear" w:color="auto" w:fill="auto"/>
            <w:noWrap/>
            <w:vAlign w:val="center"/>
            <w:hideMark/>
          </w:tcPr>
          <w:p w:rsidR="00030A28" w:rsidRPr="00030A28" w:rsidRDefault="00030A28" w:rsidP="00030A28">
            <w:pPr>
              <w:widowControl/>
              <w:jc w:val="right"/>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10.8%</w:t>
            </w:r>
          </w:p>
        </w:tc>
      </w:tr>
      <w:tr w:rsidR="00030A28" w:rsidRPr="00030A28" w:rsidTr="00313D57">
        <w:trPr>
          <w:trHeight w:val="219"/>
        </w:trPr>
        <w:tc>
          <w:tcPr>
            <w:tcW w:w="204" w:type="dxa"/>
            <w:tcBorders>
              <w:top w:val="nil"/>
              <w:left w:val="nil"/>
              <w:bottom w:val="nil"/>
              <w:right w:val="nil"/>
            </w:tcBorders>
            <w:shd w:val="clear" w:color="auto" w:fill="auto"/>
            <w:noWrap/>
            <w:vAlign w:val="center"/>
            <w:hideMark/>
          </w:tcPr>
          <w:p w:rsidR="00030A28" w:rsidRPr="00030A28" w:rsidRDefault="00030A28" w:rsidP="00030A28">
            <w:pPr>
              <w:widowControl/>
              <w:jc w:val="left"/>
              <w:rPr>
                <w:rFonts w:ascii="HGPｺﾞｼｯｸM" w:eastAsia="HGPｺﾞｼｯｸM" w:hAnsi="ＭＳ Ｐゴシック" w:cs="ＭＳ Ｐゴシック"/>
                <w:color w:val="000000"/>
                <w:kern w:val="0"/>
                <w:sz w:val="22"/>
              </w:rPr>
            </w:pPr>
          </w:p>
        </w:tc>
        <w:tc>
          <w:tcPr>
            <w:tcW w:w="1763" w:type="dxa"/>
            <w:tcBorders>
              <w:top w:val="nil"/>
              <w:left w:val="single" w:sz="4" w:space="0" w:color="auto"/>
              <w:bottom w:val="single" w:sz="4" w:space="0" w:color="auto"/>
              <w:right w:val="single" w:sz="4" w:space="0" w:color="auto"/>
            </w:tcBorders>
            <w:shd w:val="clear" w:color="auto" w:fill="auto"/>
            <w:noWrap/>
            <w:vAlign w:val="center"/>
            <w:hideMark/>
          </w:tcPr>
          <w:p w:rsidR="00030A28" w:rsidRPr="00030A28" w:rsidRDefault="00030A28" w:rsidP="00030A28">
            <w:pPr>
              <w:widowControl/>
              <w:jc w:val="left"/>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無</w:t>
            </w:r>
          </w:p>
        </w:tc>
        <w:tc>
          <w:tcPr>
            <w:tcW w:w="1060" w:type="dxa"/>
            <w:tcBorders>
              <w:top w:val="nil"/>
              <w:left w:val="nil"/>
              <w:bottom w:val="single" w:sz="4" w:space="0" w:color="auto"/>
              <w:right w:val="single" w:sz="4" w:space="0" w:color="auto"/>
            </w:tcBorders>
            <w:shd w:val="clear" w:color="auto" w:fill="auto"/>
            <w:noWrap/>
            <w:vAlign w:val="center"/>
            <w:hideMark/>
          </w:tcPr>
          <w:p w:rsidR="00030A28" w:rsidRPr="00030A28" w:rsidRDefault="00030A28" w:rsidP="00030A28">
            <w:pPr>
              <w:widowControl/>
              <w:jc w:val="right"/>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1,424</w:t>
            </w:r>
          </w:p>
        </w:tc>
        <w:tc>
          <w:tcPr>
            <w:tcW w:w="1180" w:type="dxa"/>
            <w:tcBorders>
              <w:top w:val="nil"/>
              <w:left w:val="nil"/>
              <w:bottom w:val="single" w:sz="4" w:space="0" w:color="auto"/>
              <w:right w:val="single" w:sz="4" w:space="0" w:color="auto"/>
            </w:tcBorders>
            <w:shd w:val="clear" w:color="auto" w:fill="auto"/>
            <w:noWrap/>
            <w:vAlign w:val="center"/>
            <w:hideMark/>
          </w:tcPr>
          <w:p w:rsidR="00030A28" w:rsidRPr="00030A28" w:rsidRDefault="00030A28" w:rsidP="00030A28">
            <w:pPr>
              <w:widowControl/>
              <w:jc w:val="right"/>
              <w:rPr>
                <w:rFonts w:ascii="HGPｺﾞｼｯｸM" w:eastAsia="HGPｺﾞｼｯｸM" w:hAnsi="ＭＳ Ｐゴシック" w:cs="ＭＳ Ｐゴシック"/>
                <w:color w:val="000000"/>
                <w:kern w:val="0"/>
                <w:sz w:val="20"/>
              </w:rPr>
            </w:pPr>
            <w:r w:rsidRPr="00030A28">
              <w:rPr>
                <w:rFonts w:ascii="HGPｺﾞｼｯｸM" w:eastAsia="HGPｺﾞｼｯｸM" w:hAnsi="ＭＳ Ｐゴシック" w:cs="ＭＳ Ｐゴシック" w:hint="eastAsia"/>
                <w:color w:val="000000"/>
                <w:kern w:val="0"/>
                <w:sz w:val="20"/>
              </w:rPr>
              <w:t>89.2%</w:t>
            </w:r>
          </w:p>
        </w:tc>
      </w:tr>
    </w:tbl>
    <w:p w:rsidR="00030A28" w:rsidRDefault="00030A28" w:rsidP="00E0772D">
      <w:pPr>
        <w:widowControl/>
        <w:jc w:val="left"/>
        <w:rPr>
          <w:rFonts w:asciiTheme="minorEastAsia" w:hAnsiTheme="minorEastAsia"/>
        </w:rPr>
      </w:pPr>
    </w:p>
    <w:p w:rsidR="00030A28" w:rsidRDefault="00030A28" w:rsidP="00E0772D">
      <w:pPr>
        <w:widowControl/>
        <w:jc w:val="left"/>
        <w:rPr>
          <w:rFonts w:asciiTheme="minorEastAsia" w:hAnsiTheme="minorEastAsia"/>
        </w:rPr>
      </w:pPr>
      <w:r>
        <w:rPr>
          <w:rFonts w:asciiTheme="minorEastAsia" w:hAnsiTheme="minorEastAsia" w:hint="eastAsia"/>
        </w:rPr>
        <w:t xml:space="preserve">　業種別にみると</w:t>
      </w:r>
      <w:r w:rsidR="0039617C">
        <w:rPr>
          <w:rFonts w:asciiTheme="minorEastAsia" w:hAnsiTheme="minorEastAsia" w:hint="eastAsia"/>
        </w:rPr>
        <w:t>、市場の状況について、「厳しい」との回答が多いのが「宿泊業」（64.4％）、「理美容業」（56.9％）、「卸・小売業」（49.8％）、「製造業」（40.2％）</w:t>
      </w:r>
      <w:r w:rsidR="00915FAC">
        <w:rPr>
          <w:rFonts w:asciiTheme="minorEastAsia" w:hAnsiTheme="minorEastAsia" w:hint="eastAsia"/>
        </w:rPr>
        <w:t>など</w:t>
      </w:r>
      <w:r w:rsidR="0039617C">
        <w:rPr>
          <w:rFonts w:asciiTheme="minorEastAsia" w:hAnsiTheme="minorEastAsia" w:hint="eastAsia"/>
        </w:rPr>
        <w:t>となっている。また、今後の予測について、「悪化」の回答が多いのは「卸・小売業」（40.2％）、「理美容業」（35.3％）</w:t>
      </w:r>
      <w:r w:rsidR="00915FAC">
        <w:rPr>
          <w:rFonts w:asciiTheme="minorEastAsia" w:hAnsiTheme="minorEastAsia" w:hint="eastAsia"/>
        </w:rPr>
        <w:t>など</w:t>
      </w:r>
      <w:r w:rsidR="0039617C">
        <w:rPr>
          <w:rFonts w:asciiTheme="minorEastAsia" w:hAnsiTheme="minorEastAsia" w:hint="eastAsia"/>
        </w:rPr>
        <w:t>となっており、業種間の差があるものの、現在の市況</w:t>
      </w:r>
      <w:r w:rsidR="005D1759">
        <w:rPr>
          <w:rFonts w:asciiTheme="minorEastAsia" w:hAnsiTheme="minorEastAsia" w:hint="eastAsia"/>
        </w:rPr>
        <w:t>の評価</w:t>
      </w:r>
      <w:r w:rsidR="0039617C">
        <w:rPr>
          <w:rFonts w:asciiTheme="minorEastAsia" w:hAnsiTheme="minorEastAsia" w:hint="eastAsia"/>
        </w:rPr>
        <w:t>と比較して、今後の展望については</w:t>
      </w:r>
      <w:r w:rsidR="00915FAC">
        <w:rPr>
          <w:rFonts w:asciiTheme="minorEastAsia" w:hAnsiTheme="minorEastAsia" w:hint="eastAsia"/>
        </w:rPr>
        <w:t>全体として</w:t>
      </w:r>
      <w:r w:rsidR="0039617C">
        <w:rPr>
          <w:rFonts w:asciiTheme="minorEastAsia" w:hAnsiTheme="minorEastAsia" w:hint="eastAsia"/>
        </w:rPr>
        <w:t>楽観的な観測</w:t>
      </w:r>
      <w:r w:rsidR="00915FAC">
        <w:rPr>
          <w:rFonts w:asciiTheme="minorEastAsia" w:hAnsiTheme="minorEastAsia" w:hint="eastAsia"/>
        </w:rPr>
        <w:t>と</w:t>
      </w:r>
      <w:r w:rsidR="0039617C">
        <w:rPr>
          <w:rFonts w:asciiTheme="minorEastAsia" w:hAnsiTheme="minorEastAsia" w:hint="eastAsia"/>
        </w:rPr>
        <w:t>なっている。</w:t>
      </w:r>
    </w:p>
    <w:p w:rsidR="0039617C" w:rsidRDefault="0039617C" w:rsidP="00E0772D">
      <w:pPr>
        <w:widowControl/>
        <w:jc w:val="left"/>
        <w:rPr>
          <w:rFonts w:asciiTheme="minorEastAsia" w:hAnsiTheme="minorEastAsia"/>
        </w:rPr>
      </w:pPr>
      <w:r>
        <w:rPr>
          <w:rFonts w:asciiTheme="minorEastAsia" w:hAnsiTheme="minorEastAsia" w:hint="eastAsia"/>
        </w:rPr>
        <w:t xml:space="preserve">　</w:t>
      </w:r>
      <w:r w:rsidR="00915FAC">
        <w:rPr>
          <w:rFonts w:asciiTheme="minorEastAsia" w:hAnsiTheme="minorEastAsia" w:hint="eastAsia"/>
        </w:rPr>
        <w:t>一方、今後の販売促進策について、「有」の回答が多いのが、「飲食業」（17.1％）、「宿泊業」（15.6％）、「卸・小売業」（14.3％）などとなっており、比較的市況を厳しく見ている業種に「有」が多く、楽観的見方（＝経営状況が好調）の業種に「無」の回答</w:t>
      </w:r>
      <w:r w:rsidR="009A715F">
        <w:rPr>
          <w:rFonts w:asciiTheme="minorEastAsia" w:hAnsiTheme="minorEastAsia" w:hint="eastAsia"/>
        </w:rPr>
        <w:t>が多い傾向がみられるが、必ずしも一致するものではなく、自助努力</w:t>
      </w:r>
      <w:r w:rsidR="00915FAC">
        <w:rPr>
          <w:rFonts w:asciiTheme="minorEastAsia" w:hAnsiTheme="minorEastAsia" w:hint="eastAsia"/>
        </w:rPr>
        <w:t>しやすい業種とそうでない業種で分かれる傾向もみられる。</w:t>
      </w:r>
    </w:p>
    <w:p w:rsidR="00915FAC" w:rsidRDefault="00915FAC" w:rsidP="00E0772D">
      <w:pPr>
        <w:widowControl/>
        <w:jc w:val="left"/>
        <w:rPr>
          <w:rFonts w:asciiTheme="minorEastAsia" w:hAnsiTheme="minorEastAsia"/>
        </w:rPr>
      </w:pPr>
    </w:p>
    <w:p w:rsidR="009A715F" w:rsidRPr="00EF2B96" w:rsidRDefault="00EF2B96" w:rsidP="00E0772D">
      <w:pPr>
        <w:widowControl/>
        <w:jc w:val="left"/>
        <w:rPr>
          <w:rFonts w:asciiTheme="majorEastAsia" w:eastAsiaTheme="majorEastAsia" w:hAnsiTheme="majorEastAsia" w:hint="eastAsia"/>
          <w:sz w:val="22"/>
        </w:rPr>
      </w:pPr>
      <w:r>
        <w:rPr>
          <w:rFonts w:asciiTheme="majorEastAsia" w:eastAsiaTheme="majorEastAsia" w:hAnsiTheme="majorEastAsia" w:hint="eastAsia"/>
          <w:sz w:val="22"/>
        </w:rPr>
        <w:lastRenderedPageBreak/>
        <w:t>５</w:t>
      </w:r>
      <w:r w:rsidR="009A715F" w:rsidRPr="00EF2B96">
        <w:rPr>
          <w:rFonts w:asciiTheme="majorEastAsia" w:eastAsiaTheme="majorEastAsia" w:hAnsiTheme="majorEastAsia" w:hint="eastAsia"/>
          <w:sz w:val="22"/>
        </w:rPr>
        <w:t>.業種別の傾向</w:t>
      </w:r>
    </w:p>
    <w:p w:rsidR="00313D57" w:rsidRDefault="00313D57" w:rsidP="00E0772D">
      <w:pPr>
        <w:widowControl/>
        <w:jc w:val="left"/>
        <w:rPr>
          <w:rFonts w:asciiTheme="minorEastAsia" w:hAnsiTheme="minorEastAsia"/>
        </w:rPr>
      </w:pPr>
    </w:p>
    <w:p w:rsidR="009A715F" w:rsidRDefault="009A715F" w:rsidP="00E0772D">
      <w:pPr>
        <w:widowControl/>
        <w:jc w:val="left"/>
        <w:rPr>
          <w:rFonts w:asciiTheme="minorEastAsia" w:hAnsiTheme="minorEastAsia"/>
        </w:rPr>
      </w:pPr>
      <w:r>
        <w:rPr>
          <w:rFonts w:asciiTheme="minorEastAsia" w:hAnsiTheme="minorEastAsia" w:hint="eastAsia"/>
        </w:rPr>
        <w:t xml:space="preserve">　今回の調査について業種別に分析すると、先ず、</w:t>
      </w:r>
      <w:r w:rsidR="0041278D">
        <w:rPr>
          <w:rFonts w:asciiTheme="minorEastAsia" w:hAnsiTheme="minorEastAsia" w:hint="eastAsia"/>
        </w:rPr>
        <w:t>「</w:t>
      </w:r>
      <w:r>
        <w:rPr>
          <w:rFonts w:asciiTheme="minorEastAsia" w:hAnsiTheme="minorEastAsia" w:hint="eastAsia"/>
        </w:rPr>
        <w:t>製造業</w:t>
      </w:r>
      <w:r w:rsidR="0041278D">
        <w:rPr>
          <w:rFonts w:asciiTheme="minorEastAsia" w:hAnsiTheme="minorEastAsia" w:hint="eastAsia"/>
        </w:rPr>
        <w:t>」</w:t>
      </w:r>
      <w:r>
        <w:rPr>
          <w:rFonts w:asciiTheme="minorEastAsia" w:hAnsiTheme="minorEastAsia" w:hint="eastAsia"/>
        </w:rPr>
        <w:t>は、</w:t>
      </w:r>
      <w:r w:rsidR="0041278D">
        <w:rPr>
          <w:rFonts w:asciiTheme="minorEastAsia" w:hAnsiTheme="minorEastAsia" w:hint="eastAsia"/>
        </w:rPr>
        <w:t>概ね</w:t>
      </w:r>
      <w:r>
        <w:rPr>
          <w:rFonts w:asciiTheme="minorEastAsia" w:hAnsiTheme="minorEastAsia" w:hint="eastAsia"/>
        </w:rPr>
        <w:t>全体平均に近い傾向がみられる業種の一つである。</w:t>
      </w:r>
      <w:r w:rsidR="0041278D">
        <w:rPr>
          <w:rFonts w:asciiTheme="minorEastAsia" w:hAnsiTheme="minorEastAsia" w:hint="eastAsia"/>
        </w:rPr>
        <w:t>経営環境や市況は厳しいが、事業承継や販売促進策など今後の展望という点では、平均より前向きな事業所が多い。いわき市の基幹産業としての役割が期待される。</w:t>
      </w:r>
    </w:p>
    <w:p w:rsidR="0041278D" w:rsidRDefault="0041278D" w:rsidP="00E0772D">
      <w:pPr>
        <w:widowControl/>
        <w:jc w:val="left"/>
        <w:rPr>
          <w:rFonts w:asciiTheme="minorEastAsia" w:hAnsiTheme="minorEastAsia"/>
        </w:rPr>
      </w:pPr>
      <w:r>
        <w:rPr>
          <w:rFonts w:asciiTheme="minorEastAsia" w:hAnsiTheme="minorEastAsia" w:hint="eastAsia"/>
        </w:rPr>
        <w:t xml:space="preserve">　逆に「卸・小売業」は、全体平均よりも多くの項目で平均よりマイナスの回答が多い。</w:t>
      </w:r>
      <w:r w:rsidR="0063471B">
        <w:rPr>
          <w:rFonts w:asciiTheme="minorEastAsia" w:hAnsiTheme="minorEastAsia" w:hint="eastAsia"/>
        </w:rPr>
        <w:t>経営状況や市況も厳しく、震災の恩恵を受けないだけでなく、消費不況の影響も見られる。ただし、今後の予測は必ずしも暗いものではなく、販売促進策などで活路を見出そうとする意欲も見て取れる。</w:t>
      </w:r>
    </w:p>
    <w:p w:rsidR="0063471B" w:rsidRDefault="0063471B" w:rsidP="00E0772D">
      <w:pPr>
        <w:widowControl/>
        <w:jc w:val="left"/>
        <w:rPr>
          <w:rFonts w:asciiTheme="minorEastAsia" w:hAnsiTheme="minorEastAsia" w:hint="eastAsia"/>
        </w:rPr>
      </w:pPr>
      <w:r>
        <w:rPr>
          <w:rFonts w:asciiTheme="minorEastAsia" w:hAnsiTheme="minorEastAsia" w:hint="eastAsia"/>
        </w:rPr>
        <w:t xml:space="preserve">　「建設業」は復興需要がまだ収まっていないこともあり、経営状況、市況ともに比較的好調を維持している。最も大きな課題が雇用すなわち人手の確保となっている。</w:t>
      </w:r>
      <w:r w:rsidR="00AC5A79">
        <w:rPr>
          <w:rFonts w:asciiTheme="minorEastAsia" w:hAnsiTheme="minorEastAsia" w:hint="eastAsia"/>
        </w:rPr>
        <w:t>ただし、今後の予測では</w:t>
      </w:r>
      <w:r w:rsidR="0076292E">
        <w:rPr>
          <w:rFonts w:asciiTheme="minorEastAsia" w:hAnsiTheme="minorEastAsia" w:hint="eastAsia"/>
        </w:rPr>
        <w:t>厳しい見方をしており、ピークを過ぎて徐々に経営が悪化することが懸念されている。また、新たな方策等も検討されていない。</w:t>
      </w:r>
    </w:p>
    <w:p w:rsidR="0076292E" w:rsidRDefault="0076292E" w:rsidP="00E0772D">
      <w:pPr>
        <w:widowControl/>
        <w:jc w:val="left"/>
        <w:rPr>
          <w:rFonts w:asciiTheme="minorEastAsia" w:hAnsiTheme="minorEastAsia" w:hint="eastAsia"/>
        </w:rPr>
      </w:pPr>
      <w:r>
        <w:rPr>
          <w:rFonts w:asciiTheme="minorEastAsia" w:hAnsiTheme="minorEastAsia" w:hint="eastAsia"/>
        </w:rPr>
        <w:t xml:space="preserve">　「飲食業」は、全体平均よりマイナスの回答が多く、経営状況、今後の展望ともに厳しい状況が見て取れる。とくに経営課題として、消費税対策や経営・財務改善を挙げる事業所が多く、また事業継承についても予定の事業所が多いことから、小規模事業所が多く、かなりの割合の事業所が今後立ち行かなくなることを想定している傾向がみられる。</w:t>
      </w:r>
    </w:p>
    <w:p w:rsidR="0076292E" w:rsidRDefault="0076292E" w:rsidP="00E0772D">
      <w:pPr>
        <w:widowControl/>
        <w:jc w:val="left"/>
        <w:rPr>
          <w:rFonts w:asciiTheme="minorEastAsia" w:hAnsiTheme="minorEastAsia" w:hint="eastAsia"/>
        </w:rPr>
      </w:pPr>
      <w:r>
        <w:rPr>
          <w:rFonts w:asciiTheme="minorEastAsia" w:hAnsiTheme="minorEastAsia" w:hint="eastAsia"/>
        </w:rPr>
        <w:t xml:space="preserve">　「理美容業」に関しては、震災後の消費人口の増加を反映してか、現在の経営状況等は平均</w:t>
      </w:r>
      <w:r w:rsidR="00F1461D">
        <w:rPr>
          <w:rFonts w:asciiTheme="minorEastAsia" w:hAnsiTheme="minorEastAsia" w:hint="eastAsia"/>
        </w:rPr>
        <w:t>ある</w:t>
      </w:r>
      <w:r>
        <w:rPr>
          <w:rFonts w:asciiTheme="minorEastAsia" w:hAnsiTheme="minorEastAsia" w:hint="eastAsia"/>
        </w:rPr>
        <w:t>いは若干プラスの</w:t>
      </w:r>
      <w:r w:rsidR="00F1461D">
        <w:rPr>
          <w:rFonts w:asciiTheme="minorEastAsia" w:hAnsiTheme="minorEastAsia" w:hint="eastAsia"/>
        </w:rPr>
        <w:t>回答と</w:t>
      </w:r>
      <w:r>
        <w:rPr>
          <w:rFonts w:asciiTheme="minorEastAsia" w:hAnsiTheme="minorEastAsia" w:hint="eastAsia"/>
        </w:rPr>
        <w:t>なっているが、今後の展望および事業継承については、非常に厳しい回答が多く、将来的には多くが廃業せざるを得ない</w:t>
      </w:r>
      <w:r w:rsidR="00F1461D">
        <w:rPr>
          <w:rFonts w:asciiTheme="minorEastAsia" w:hAnsiTheme="minorEastAsia" w:hint="eastAsia"/>
        </w:rPr>
        <w:t>可能性が高くなっている</w:t>
      </w:r>
      <w:r>
        <w:rPr>
          <w:rFonts w:asciiTheme="minorEastAsia" w:hAnsiTheme="minorEastAsia" w:hint="eastAsia"/>
        </w:rPr>
        <w:t>。</w:t>
      </w:r>
    </w:p>
    <w:p w:rsidR="0076292E" w:rsidRDefault="0076292E" w:rsidP="00E0772D">
      <w:pPr>
        <w:widowControl/>
        <w:jc w:val="left"/>
        <w:rPr>
          <w:rFonts w:asciiTheme="minorEastAsia" w:hAnsiTheme="minorEastAsia" w:hint="eastAsia"/>
        </w:rPr>
      </w:pPr>
      <w:r>
        <w:rPr>
          <w:rFonts w:asciiTheme="minorEastAsia" w:hAnsiTheme="minorEastAsia" w:hint="eastAsia"/>
        </w:rPr>
        <w:t xml:space="preserve">　</w:t>
      </w:r>
      <w:r w:rsidR="003971F6">
        <w:rPr>
          <w:rFonts w:asciiTheme="minorEastAsia" w:hAnsiTheme="minorEastAsia" w:hint="eastAsia"/>
        </w:rPr>
        <w:t>「宿泊業」も</w:t>
      </w:r>
      <w:r w:rsidR="005D1759">
        <w:rPr>
          <w:rFonts w:asciiTheme="minorEastAsia" w:hAnsiTheme="minorEastAsia" w:hint="eastAsia"/>
        </w:rPr>
        <w:t>、</w:t>
      </w:r>
      <w:r w:rsidR="00F1461D">
        <w:rPr>
          <w:rFonts w:asciiTheme="minorEastAsia" w:hAnsiTheme="minorEastAsia" w:hint="eastAsia"/>
        </w:rPr>
        <w:t>現在の経営状況はさほど悪くなっていないが、他の業種と大きく異なる点が、賠償金の割合が圧倒的に高いことであり、実に6割の事業所が現在も東京電力からの賠償金を得ている。そのため、他業種と比べても、事業承継に関しては高い割合で継承出来る予定になっているにも拘らず、</w:t>
      </w:r>
      <w:r w:rsidR="00C53628">
        <w:rPr>
          <w:rFonts w:asciiTheme="minorEastAsia" w:hAnsiTheme="minorEastAsia" w:hint="eastAsia"/>
        </w:rPr>
        <w:t>市場の状況には</w:t>
      </w:r>
      <w:r w:rsidR="00F1461D">
        <w:rPr>
          <w:rFonts w:asciiTheme="minorEastAsia" w:hAnsiTheme="minorEastAsia" w:hint="eastAsia"/>
        </w:rPr>
        <w:t>非常に悲観的である。いわゆる風評被害の影響を</w:t>
      </w:r>
      <w:r w:rsidR="00C53628">
        <w:rPr>
          <w:rFonts w:asciiTheme="minorEastAsia" w:hAnsiTheme="minorEastAsia" w:hint="eastAsia"/>
        </w:rPr>
        <w:t>強く受ける業種でもあり、展望を拓くことが難しくなっている。</w:t>
      </w:r>
    </w:p>
    <w:p w:rsidR="00C53628" w:rsidRDefault="00C53628" w:rsidP="00E0772D">
      <w:pPr>
        <w:widowControl/>
        <w:jc w:val="left"/>
        <w:rPr>
          <w:rFonts w:asciiTheme="minorEastAsia" w:hAnsiTheme="minorEastAsia" w:hint="eastAsia"/>
        </w:rPr>
      </w:pPr>
      <w:r>
        <w:rPr>
          <w:rFonts w:asciiTheme="minorEastAsia" w:hAnsiTheme="minorEastAsia" w:hint="eastAsia"/>
        </w:rPr>
        <w:t xml:space="preserve">　「不動産業」は震災発生後から続く、消費人口の増大によるいわゆる「震災バブル」の</w:t>
      </w:r>
      <w:r w:rsidR="003971F6">
        <w:rPr>
          <w:rFonts w:asciiTheme="minorEastAsia" w:hAnsiTheme="minorEastAsia" w:hint="eastAsia"/>
        </w:rPr>
        <w:t>象徴</w:t>
      </w:r>
      <w:r>
        <w:rPr>
          <w:rFonts w:asciiTheme="minorEastAsia" w:hAnsiTheme="minorEastAsia" w:hint="eastAsia"/>
        </w:rPr>
        <w:t>とも言える土地価格の上昇</w:t>
      </w:r>
      <w:r w:rsidR="009D78DB">
        <w:rPr>
          <w:rFonts w:asciiTheme="minorEastAsia" w:hAnsiTheme="minorEastAsia" w:hint="eastAsia"/>
        </w:rPr>
        <w:t>に伴う不動産市場は、未だ活況を呈していると言える。ただ、ピークは過ぎつつあるということで、今後の方策等</w:t>
      </w:r>
      <w:r w:rsidR="003971F6">
        <w:rPr>
          <w:rFonts w:asciiTheme="minorEastAsia" w:hAnsiTheme="minorEastAsia" w:hint="eastAsia"/>
        </w:rPr>
        <w:t>の</w:t>
      </w:r>
      <w:r w:rsidR="009D78DB">
        <w:rPr>
          <w:rFonts w:asciiTheme="minorEastAsia" w:hAnsiTheme="minorEastAsia" w:hint="eastAsia"/>
        </w:rPr>
        <w:t>検討時期に入ってきていると言える。</w:t>
      </w:r>
    </w:p>
    <w:p w:rsidR="009D78DB" w:rsidRDefault="009D78DB" w:rsidP="00E0772D">
      <w:pPr>
        <w:widowControl/>
        <w:jc w:val="left"/>
        <w:rPr>
          <w:rFonts w:asciiTheme="minorEastAsia" w:hAnsiTheme="minorEastAsia" w:hint="eastAsia"/>
        </w:rPr>
      </w:pPr>
      <w:r>
        <w:rPr>
          <w:rFonts w:asciiTheme="minorEastAsia" w:hAnsiTheme="minorEastAsia" w:hint="eastAsia"/>
        </w:rPr>
        <w:t xml:space="preserve">　「医療・福祉業」は、平均よりもプラスの回答が多く、比較的堅調であると言える。そのなかで、経営課題として経理・税務対策と雇用問題が多く挙げられており、人手の確保や体質の強化が課題となっている。</w:t>
      </w:r>
    </w:p>
    <w:p w:rsidR="009D78DB" w:rsidRDefault="009D78DB" w:rsidP="00E0772D">
      <w:pPr>
        <w:widowControl/>
        <w:jc w:val="left"/>
        <w:rPr>
          <w:rFonts w:asciiTheme="minorEastAsia" w:hAnsiTheme="minorEastAsia" w:hint="eastAsia"/>
        </w:rPr>
      </w:pPr>
      <w:r>
        <w:rPr>
          <w:rFonts w:asciiTheme="minorEastAsia" w:hAnsiTheme="minorEastAsia" w:hint="eastAsia"/>
        </w:rPr>
        <w:t xml:space="preserve">　「その他サービス業」は、ほとんどの指標が全体平均と近似になっており、全体の傾向がそのまま当てはまる結果となっている。</w:t>
      </w:r>
    </w:p>
    <w:p w:rsidR="009D78DB" w:rsidRDefault="009D78DB" w:rsidP="00E0772D">
      <w:pPr>
        <w:widowControl/>
        <w:jc w:val="left"/>
        <w:rPr>
          <w:rFonts w:asciiTheme="minorEastAsia" w:hAnsiTheme="minorEastAsia" w:hint="eastAsia"/>
        </w:rPr>
      </w:pPr>
    </w:p>
    <w:p w:rsidR="00313D57" w:rsidRDefault="00313D57">
      <w:pPr>
        <w:widowControl/>
        <w:jc w:val="left"/>
        <w:rPr>
          <w:rFonts w:asciiTheme="minorEastAsia" w:hAnsiTheme="minorEastAsia"/>
        </w:rPr>
      </w:pPr>
      <w:r>
        <w:rPr>
          <w:rFonts w:asciiTheme="minorEastAsia" w:hAnsiTheme="minorEastAsia"/>
        </w:rPr>
        <w:br w:type="page"/>
      </w:r>
    </w:p>
    <w:p w:rsidR="009D78DB" w:rsidRPr="00EF2B96" w:rsidRDefault="00EF2B96" w:rsidP="00E0772D">
      <w:pPr>
        <w:widowControl/>
        <w:jc w:val="left"/>
        <w:rPr>
          <w:rFonts w:asciiTheme="majorEastAsia" w:eastAsiaTheme="majorEastAsia" w:hAnsiTheme="majorEastAsia" w:hint="eastAsia"/>
          <w:sz w:val="22"/>
        </w:rPr>
      </w:pPr>
      <w:r w:rsidRPr="00EF2B96">
        <w:rPr>
          <w:rFonts w:asciiTheme="majorEastAsia" w:eastAsiaTheme="majorEastAsia" w:hAnsiTheme="majorEastAsia" w:hint="eastAsia"/>
          <w:sz w:val="22"/>
        </w:rPr>
        <w:lastRenderedPageBreak/>
        <w:t>６．</w:t>
      </w:r>
      <w:r w:rsidR="00313D57" w:rsidRPr="00EF2B96">
        <w:rPr>
          <w:rFonts w:asciiTheme="majorEastAsia" w:eastAsiaTheme="majorEastAsia" w:hAnsiTheme="majorEastAsia" w:hint="eastAsia"/>
          <w:sz w:val="22"/>
        </w:rPr>
        <w:t>総括―今後の展望・課題</w:t>
      </w:r>
    </w:p>
    <w:p w:rsidR="00313D57" w:rsidRDefault="00313D57" w:rsidP="00E0772D">
      <w:pPr>
        <w:widowControl/>
        <w:jc w:val="left"/>
        <w:rPr>
          <w:rFonts w:asciiTheme="minorEastAsia" w:hAnsiTheme="minorEastAsia" w:hint="eastAsia"/>
        </w:rPr>
      </w:pPr>
    </w:p>
    <w:p w:rsidR="00313D57" w:rsidRDefault="00EF2B96" w:rsidP="00E0772D">
      <w:pPr>
        <w:widowControl/>
        <w:jc w:val="left"/>
        <w:rPr>
          <w:rFonts w:asciiTheme="minorEastAsia" w:hAnsiTheme="minorEastAsia" w:hint="eastAsia"/>
        </w:rPr>
      </w:pPr>
      <w:r>
        <w:rPr>
          <w:rFonts w:asciiTheme="minorEastAsia" w:hAnsiTheme="minorEastAsia" w:hint="eastAsia"/>
        </w:rPr>
        <w:t xml:space="preserve">　震災によって、いわき市の経済および企業の多くは大きなダメージを負った。一部の業種および企業では、「震災バブル」とも言われる活況を呈し、その影響は</w:t>
      </w:r>
      <w:r w:rsidR="00AE24C0">
        <w:rPr>
          <w:rFonts w:asciiTheme="minorEastAsia" w:hAnsiTheme="minorEastAsia" w:hint="eastAsia"/>
        </w:rPr>
        <w:t>発災から</w:t>
      </w:r>
      <w:r>
        <w:rPr>
          <w:rFonts w:asciiTheme="minorEastAsia" w:hAnsiTheme="minorEastAsia" w:hint="eastAsia"/>
        </w:rPr>
        <w:t>5年</w:t>
      </w:r>
      <w:r w:rsidR="00AE24C0">
        <w:rPr>
          <w:rFonts w:asciiTheme="minorEastAsia" w:hAnsiTheme="minorEastAsia" w:hint="eastAsia"/>
        </w:rPr>
        <w:t>を</w:t>
      </w:r>
      <w:r>
        <w:rPr>
          <w:rFonts w:asciiTheme="minorEastAsia" w:hAnsiTheme="minorEastAsia" w:hint="eastAsia"/>
        </w:rPr>
        <w:t>経過し</w:t>
      </w:r>
      <w:r w:rsidR="00AE24C0">
        <w:rPr>
          <w:rFonts w:asciiTheme="minorEastAsia" w:hAnsiTheme="minorEastAsia" w:hint="eastAsia"/>
        </w:rPr>
        <w:t>ても一部残っていることは、今回の調査でも明らかになった。ただ、そうした特殊要因も残っているものの、その影響は薄れつつあり、好調な業種もピークを過ぎつつあり、全体として地方経済が抱える</w:t>
      </w:r>
      <w:r w:rsidR="00E870D3">
        <w:rPr>
          <w:rFonts w:asciiTheme="minorEastAsia" w:hAnsiTheme="minorEastAsia" w:hint="eastAsia"/>
        </w:rPr>
        <w:t>問題を共有する、一地方都市の現状として捉えられるようになってきている。</w:t>
      </w:r>
    </w:p>
    <w:p w:rsidR="00E870D3" w:rsidRDefault="00E870D3" w:rsidP="00E0772D">
      <w:pPr>
        <w:widowControl/>
        <w:jc w:val="left"/>
        <w:rPr>
          <w:rFonts w:asciiTheme="minorEastAsia" w:hAnsiTheme="minorEastAsia" w:hint="eastAsia"/>
        </w:rPr>
      </w:pPr>
      <w:r>
        <w:rPr>
          <w:rFonts w:asciiTheme="minorEastAsia" w:hAnsiTheme="minorEastAsia" w:hint="eastAsia"/>
        </w:rPr>
        <w:t xml:space="preserve">　ただし、震災によって多くの人の流入と同時に、様々な企業・事業所も流入してきており、その面で他の地方都市よりも地域経済が動いていることも事実であるが、特殊要因による流入は地域経済のバランスを崩しており、そのしわ寄せも地場の企業に来ている傾向も見られる。</w:t>
      </w:r>
    </w:p>
    <w:p w:rsidR="00E870D3" w:rsidRDefault="00E870D3" w:rsidP="00E0772D">
      <w:pPr>
        <w:widowControl/>
        <w:jc w:val="left"/>
        <w:rPr>
          <w:rFonts w:asciiTheme="minorEastAsia" w:hAnsiTheme="minorEastAsia" w:hint="eastAsia"/>
        </w:rPr>
      </w:pPr>
      <w:r>
        <w:rPr>
          <w:rFonts w:asciiTheme="minorEastAsia" w:hAnsiTheme="minorEastAsia" w:hint="eastAsia"/>
        </w:rPr>
        <w:t xml:space="preserve">　その意味では、今回の商工会議所会員事業所の調査は、一部活況を呈する業種に市外から参入してきた事業所</w:t>
      </w:r>
      <w:r w:rsidR="0094662E">
        <w:rPr>
          <w:rFonts w:asciiTheme="minorEastAsia" w:hAnsiTheme="minorEastAsia" w:hint="eastAsia"/>
        </w:rPr>
        <w:t>は基本的に対象としていないため、地域経済の「実力」がより反映されていると言える。</w:t>
      </w:r>
      <w:r w:rsidR="00516A5E">
        <w:rPr>
          <w:rFonts w:asciiTheme="minorEastAsia" w:hAnsiTheme="minorEastAsia" w:hint="eastAsia"/>
        </w:rPr>
        <w:t>即ち、「卸・小売業」や「宿泊業」などに顕著なように、大手企業や進出企業で</w:t>
      </w:r>
      <w:r w:rsidR="005D1759">
        <w:rPr>
          <w:rFonts w:asciiTheme="minorEastAsia" w:hAnsiTheme="minorEastAsia" w:hint="eastAsia"/>
        </w:rPr>
        <w:t>売上を伸ばし</w:t>
      </w:r>
      <w:r w:rsidR="00516A5E">
        <w:rPr>
          <w:rFonts w:asciiTheme="minorEastAsia" w:hAnsiTheme="minorEastAsia" w:hint="eastAsia"/>
        </w:rPr>
        <w:t>ている一方、本調査対象となった会員事業所では、震災による負の影響の方が強い。</w:t>
      </w:r>
    </w:p>
    <w:p w:rsidR="005D1759" w:rsidRPr="005D1759" w:rsidRDefault="005D1759" w:rsidP="00E0772D">
      <w:pPr>
        <w:widowControl/>
        <w:jc w:val="left"/>
        <w:rPr>
          <w:rFonts w:asciiTheme="minorEastAsia" w:hAnsiTheme="minorEastAsia"/>
        </w:rPr>
      </w:pPr>
      <w:r>
        <w:rPr>
          <w:rFonts w:asciiTheme="minorEastAsia" w:hAnsiTheme="minorEastAsia" w:hint="eastAsia"/>
        </w:rPr>
        <w:t xml:space="preserve">　</w:t>
      </w:r>
      <w:r w:rsidR="003971F6">
        <w:rPr>
          <w:rFonts w:asciiTheme="minorEastAsia" w:hAnsiTheme="minorEastAsia" w:hint="eastAsia"/>
        </w:rPr>
        <w:t>マクロの経済状況については中々対応できない部分が多いが、今回の調査を見るといわき市の場合、現在の経営状況は必ずしも悪いわけではなく、将来的に厳しくなる（と予想される）事業所が多い。そこで問題となるのは雇用と事業承継という「人」である。これは個々の事業所での対応には限界があり、一朝一夕に解決できるものではない。しかし一方で、地域全体で取り組む余地はあり、実際様々な取組みも動き出している。いずれにせよそうした動きの中核になるのが商工会議所であり、そうした動きを具体的な雇用や起業等に結び付けていくことが</w:t>
      </w:r>
      <w:r w:rsidR="00F73600">
        <w:rPr>
          <w:rFonts w:asciiTheme="minorEastAsia" w:hAnsiTheme="minorEastAsia" w:hint="eastAsia"/>
        </w:rPr>
        <w:t>必要である</w:t>
      </w:r>
      <w:bookmarkStart w:id="0" w:name="_GoBack"/>
      <w:bookmarkEnd w:id="0"/>
      <w:r w:rsidR="003971F6">
        <w:rPr>
          <w:rFonts w:asciiTheme="minorEastAsia" w:hAnsiTheme="minorEastAsia" w:hint="eastAsia"/>
        </w:rPr>
        <w:t>。</w:t>
      </w:r>
    </w:p>
    <w:sectPr w:rsidR="005D1759" w:rsidRPr="005D1759" w:rsidSect="00FF4ED5">
      <w:headerReference w:type="default" r:id="rId14"/>
      <w:footerReference w:type="default" r:id="rId1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F6" w:rsidRDefault="003971F6" w:rsidP="00C9491D">
      <w:r>
        <w:separator/>
      </w:r>
    </w:p>
  </w:endnote>
  <w:endnote w:type="continuationSeparator" w:id="0">
    <w:p w:rsidR="003971F6" w:rsidRDefault="003971F6" w:rsidP="00C9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Kozuka Mincho Pr6N">
    <w:altName w:val="Kozuka Mincho Pr6N"/>
    <w:panose1 w:val="00000000000000000000"/>
    <w:charset w:val="80"/>
    <w:family w:val="roma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1170"/>
      <w:docPartObj>
        <w:docPartGallery w:val="Page Numbers (Bottom of Page)"/>
        <w:docPartUnique/>
      </w:docPartObj>
    </w:sdtPr>
    <w:sdtContent>
      <w:p w:rsidR="003971F6" w:rsidRDefault="003971F6" w:rsidP="009313DC">
        <w:pPr>
          <w:pStyle w:val="a5"/>
          <w:jc w:val="center"/>
        </w:pPr>
        <w:r>
          <w:fldChar w:fldCharType="begin"/>
        </w:r>
        <w:r>
          <w:instrText xml:space="preserve"> PAGE   \* MERGEFORMAT </w:instrText>
        </w:r>
        <w:r>
          <w:fldChar w:fldCharType="separate"/>
        </w:r>
        <w:r w:rsidR="00F73600" w:rsidRPr="00F73600">
          <w:rPr>
            <w:noProof/>
            <w:lang w:val="ja-JP"/>
          </w:rPr>
          <w:t>8</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F6" w:rsidRDefault="003971F6" w:rsidP="00C9491D">
      <w:r>
        <w:separator/>
      </w:r>
    </w:p>
  </w:footnote>
  <w:footnote w:type="continuationSeparator" w:id="0">
    <w:p w:rsidR="003971F6" w:rsidRDefault="003971F6" w:rsidP="00C94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F6" w:rsidRPr="00C90DEE" w:rsidRDefault="003971F6" w:rsidP="00BE6E1B">
    <w:pPr>
      <w:jc w:val="right"/>
      <w:rPr>
        <w:rFonts w:ascii="HGP創英角ｺﾞｼｯｸUB" w:eastAsia="HGP創英角ｺﾞｼｯｸUB"/>
        <w:color w:val="333333"/>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BB0"/>
    <w:multiLevelType w:val="hybridMultilevel"/>
    <w:tmpl w:val="7D8ABEEA"/>
    <w:lvl w:ilvl="0" w:tplc="BC72165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6105FB"/>
    <w:multiLevelType w:val="hybridMultilevel"/>
    <w:tmpl w:val="F8A8CFCA"/>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D0B0F15"/>
    <w:multiLevelType w:val="hybridMultilevel"/>
    <w:tmpl w:val="817252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3C6921"/>
    <w:multiLevelType w:val="hybridMultilevel"/>
    <w:tmpl w:val="4C1E947C"/>
    <w:lvl w:ilvl="0" w:tplc="576EA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0E6A1F"/>
    <w:multiLevelType w:val="hybridMultilevel"/>
    <w:tmpl w:val="ED8A75E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1EC401E1"/>
    <w:multiLevelType w:val="hybridMultilevel"/>
    <w:tmpl w:val="28302EC0"/>
    <w:lvl w:ilvl="0" w:tplc="546873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F6929B2"/>
    <w:multiLevelType w:val="hybridMultilevel"/>
    <w:tmpl w:val="CAB4CFC2"/>
    <w:lvl w:ilvl="0" w:tplc="FEAA8DDA">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BA6347B"/>
    <w:multiLevelType w:val="hybridMultilevel"/>
    <w:tmpl w:val="C63CA0BC"/>
    <w:lvl w:ilvl="0" w:tplc="6D34BC20">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C1668B1"/>
    <w:multiLevelType w:val="hybridMultilevel"/>
    <w:tmpl w:val="BB78924E"/>
    <w:lvl w:ilvl="0" w:tplc="FB92B6C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408F77A5"/>
    <w:multiLevelType w:val="hybridMultilevel"/>
    <w:tmpl w:val="914CBBD2"/>
    <w:lvl w:ilvl="0" w:tplc="797AD5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436A033E"/>
    <w:multiLevelType w:val="hybridMultilevel"/>
    <w:tmpl w:val="07721398"/>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1">
    <w:nsid w:val="4DBE3E12"/>
    <w:multiLevelType w:val="hybridMultilevel"/>
    <w:tmpl w:val="503CA7BA"/>
    <w:lvl w:ilvl="0" w:tplc="1D860D30">
      <w:start w:val="3"/>
      <w:numFmt w:val="bullet"/>
      <w:lvlText w:val="-"/>
      <w:lvlJc w:val="left"/>
      <w:pPr>
        <w:ind w:left="1500" w:hanging="360"/>
      </w:pPr>
      <w:rPr>
        <w:rFonts w:ascii="ＭＳ 明朝" w:eastAsia="ＭＳ 明朝" w:hAnsi="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2">
    <w:nsid w:val="54FB5FCD"/>
    <w:multiLevelType w:val="hybridMultilevel"/>
    <w:tmpl w:val="47469894"/>
    <w:lvl w:ilvl="0" w:tplc="B54A47C2">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CA914C1"/>
    <w:multiLevelType w:val="hybridMultilevel"/>
    <w:tmpl w:val="9F96B236"/>
    <w:lvl w:ilvl="0" w:tplc="04090011">
      <w:start w:val="1"/>
      <w:numFmt w:val="decimalEnclosedCircle"/>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D0E1CA9"/>
    <w:multiLevelType w:val="hybridMultilevel"/>
    <w:tmpl w:val="78A0027A"/>
    <w:lvl w:ilvl="0" w:tplc="3D36CD2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80142FF"/>
    <w:multiLevelType w:val="hybridMultilevel"/>
    <w:tmpl w:val="64A8E61E"/>
    <w:lvl w:ilvl="0" w:tplc="4104C0D6">
      <w:start w:val="1"/>
      <w:numFmt w:val="decimal"/>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6">
    <w:nsid w:val="6DD310CC"/>
    <w:multiLevelType w:val="hybridMultilevel"/>
    <w:tmpl w:val="E4A6516C"/>
    <w:lvl w:ilvl="0" w:tplc="81B6A43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5F16E42"/>
    <w:multiLevelType w:val="hybridMultilevel"/>
    <w:tmpl w:val="C1BCC576"/>
    <w:lvl w:ilvl="0" w:tplc="40B241B2">
      <w:start w:val="3"/>
      <w:numFmt w:val="bullet"/>
      <w:lvlText w:val="・"/>
      <w:lvlJc w:val="left"/>
      <w:pPr>
        <w:tabs>
          <w:tab w:val="num" w:pos="499"/>
        </w:tabs>
        <w:ind w:left="499" w:hanging="360"/>
      </w:pPr>
      <w:rPr>
        <w:rFonts w:ascii="ＭＳ 明朝" w:eastAsia="ＭＳ 明朝" w:hAnsi="ＭＳ 明朝"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18">
    <w:nsid w:val="77D20646"/>
    <w:multiLevelType w:val="hybridMultilevel"/>
    <w:tmpl w:val="FC2A70E4"/>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80C3799"/>
    <w:multiLevelType w:val="hybridMultilevel"/>
    <w:tmpl w:val="60F61A18"/>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0">
    <w:nsid w:val="793E201E"/>
    <w:multiLevelType w:val="hybridMultilevel"/>
    <w:tmpl w:val="D564EA04"/>
    <w:lvl w:ilvl="0" w:tplc="689ED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0212AC"/>
    <w:multiLevelType w:val="hybridMultilevel"/>
    <w:tmpl w:val="37CE3F4C"/>
    <w:lvl w:ilvl="0" w:tplc="EE9A4F44">
      <w:start w:val="3"/>
      <w:numFmt w:val="bullet"/>
      <w:lvlText w:val="-"/>
      <w:lvlJc w:val="left"/>
      <w:pPr>
        <w:ind w:left="930" w:hanging="360"/>
      </w:pPr>
      <w:rPr>
        <w:rFonts w:ascii="ＭＳ 明朝" w:eastAsia="ＭＳ 明朝" w:hAnsi="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2">
    <w:nsid w:val="7EFC4AAB"/>
    <w:multiLevelType w:val="hybridMultilevel"/>
    <w:tmpl w:val="C036886C"/>
    <w:lvl w:ilvl="0" w:tplc="10E68FB8">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FE82E75"/>
    <w:multiLevelType w:val="hybridMultilevel"/>
    <w:tmpl w:val="D2DA87A0"/>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1"/>
  </w:num>
  <w:num w:numId="2">
    <w:abstractNumId w:val="6"/>
  </w:num>
  <w:num w:numId="3">
    <w:abstractNumId w:val="8"/>
  </w:num>
  <w:num w:numId="4">
    <w:abstractNumId w:val="22"/>
  </w:num>
  <w:num w:numId="5">
    <w:abstractNumId w:val="12"/>
  </w:num>
  <w:num w:numId="6">
    <w:abstractNumId w:val="0"/>
  </w:num>
  <w:num w:numId="7">
    <w:abstractNumId w:val="5"/>
  </w:num>
  <w:num w:numId="8">
    <w:abstractNumId w:val="15"/>
  </w:num>
  <w:num w:numId="9">
    <w:abstractNumId w:val="9"/>
  </w:num>
  <w:num w:numId="10">
    <w:abstractNumId w:val="17"/>
  </w:num>
  <w:num w:numId="11">
    <w:abstractNumId w:val="7"/>
  </w:num>
  <w:num w:numId="12">
    <w:abstractNumId w:val="14"/>
  </w:num>
  <w:num w:numId="13">
    <w:abstractNumId w:val="16"/>
  </w:num>
  <w:num w:numId="14">
    <w:abstractNumId w:val="21"/>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8"/>
  </w:num>
  <w:num w:numId="20">
    <w:abstractNumId w:val="10"/>
  </w:num>
  <w:num w:numId="21">
    <w:abstractNumId w:val="23"/>
  </w:num>
  <w:num w:numId="22">
    <w:abstractNumId w:val="19"/>
  </w:num>
  <w:num w:numId="23">
    <w:abstractNumId w:val="20"/>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E5"/>
    <w:rsid w:val="00000019"/>
    <w:rsid w:val="0000736A"/>
    <w:rsid w:val="00013583"/>
    <w:rsid w:val="00020113"/>
    <w:rsid w:val="00030A28"/>
    <w:rsid w:val="000730CF"/>
    <w:rsid w:val="00082890"/>
    <w:rsid w:val="00091A77"/>
    <w:rsid w:val="000973F5"/>
    <w:rsid w:val="000A38F7"/>
    <w:rsid w:val="000B62C7"/>
    <w:rsid w:val="000C1CC1"/>
    <w:rsid w:val="00142051"/>
    <w:rsid w:val="00152DA6"/>
    <w:rsid w:val="001A544D"/>
    <w:rsid w:val="001A569C"/>
    <w:rsid w:val="001B0B64"/>
    <w:rsid w:val="001B2BBD"/>
    <w:rsid w:val="001D4C43"/>
    <w:rsid w:val="001F2B97"/>
    <w:rsid w:val="001F7734"/>
    <w:rsid w:val="00204FDD"/>
    <w:rsid w:val="002160DF"/>
    <w:rsid w:val="00225FF3"/>
    <w:rsid w:val="00232D21"/>
    <w:rsid w:val="002461B7"/>
    <w:rsid w:val="00270328"/>
    <w:rsid w:val="00271BA6"/>
    <w:rsid w:val="0028376D"/>
    <w:rsid w:val="00293FE3"/>
    <w:rsid w:val="00296B76"/>
    <w:rsid w:val="002A3917"/>
    <w:rsid w:val="00310D92"/>
    <w:rsid w:val="00310DB2"/>
    <w:rsid w:val="00313D57"/>
    <w:rsid w:val="00352C71"/>
    <w:rsid w:val="00356EC4"/>
    <w:rsid w:val="00361C49"/>
    <w:rsid w:val="0039617C"/>
    <w:rsid w:val="003971F6"/>
    <w:rsid w:val="003A7C42"/>
    <w:rsid w:val="003B271A"/>
    <w:rsid w:val="003C4F60"/>
    <w:rsid w:val="003E0CC4"/>
    <w:rsid w:val="003F2D9A"/>
    <w:rsid w:val="003F4954"/>
    <w:rsid w:val="003F7255"/>
    <w:rsid w:val="003F750F"/>
    <w:rsid w:val="0041278D"/>
    <w:rsid w:val="004169EF"/>
    <w:rsid w:val="004172DC"/>
    <w:rsid w:val="00417F39"/>
    <w:rsid w:val="004637A8"/>
    <w:rsid w:val="004738F7"/>
    <w:rsid w:val="004840F6"/>
    <w:rsid w:val="00496879"/>
    <w:rsid w:val="004C4EE8"/>
    <w:rsid w:val="004E340E"/>
    <w:rsid w:val="004F3A19"/>
    <w:rsid w:val="00516A5E"/>
    <w:rsid w:val="00524B33"/>
    <w:rsid w:val="00533441"/>
    <w:rsid w:val="00537E04"/>
    <w:rsid w:val="0054464A"/>
    <w:rsid w:val="005635CB"/>
    <w:rsid w:val="00565671"/>
    <w:rsid w:val="00571FFE"/>
    <w:rsid w:val="00583E20"/>
    <w:rsid w:val="00587155"/>
    <w:rsid w:val="005B247C"/>
    <w:rsid w:val="005B4361"/>
    <w:rsid w:val="005D1759"/>
    <w:rsid w:val="005E01CE"/>
    <w:rsid w:val="005E51FB"/>
    <w:rsid w:val="005F0128"/>
    <w:rsid w:val="005F2C2A"/>
    <w:rsid w:val="00603FF7"/>
    <w:rsid w:val="006201AD"/>
    <w:rsid w:val="0063471B"/>
    <w:rsid w:val="00636F73"/>
    <w:rsid w:val="006538EE"/>
    <w:rsid w:val="006667BB"/>
    <w:rsid w:val="00684E0C"/>
    <w:rsid w:val="006A1A56"/>
    <w:rsid w:val="006A7322"/>
    <w:rsid w:val="006B3E0B"/>
    <w:rsid w:val="006B7E05"/>
    <w:rsid w:val="006C4763"/>
    <w:rsid w:val="006E3E12"/>
    <w:rsid w:val="006F28EC"/>
    <w:rsid w:val="007110F7"/>
    <w:rsid w:val="007140AF"/>
    <w:rsid w:val="00733612"/>
    <w:rsid w:val="0076292E"/>
    <w:rsid w:val="007857B5"/>
    <w:rsid w:val="007B1E9E"/>
    <w:rsid w:val="007B4BDE"/>
    <w:rsid w:val="007B6AC2"/>
    <w:rsid w:val="007F51E0"/>
    <w:rsid w:val="00815CC8"/>
    <w:rsid w:val="008444E7"/>
    <w:rsid w:val="0085244E"/>
    <w:rsid w:val="0085308B"/>
    <w:rsid w:val="00857765"/>
    <w:rsid w:val="00877A35"/>
    <w:rsid w:val="00881758"/>
    <w:rsid w:val="0088318A"/>
    <w:rsid w:val="008845B9"/>
    <w:rsid w:val="00887475"/>
    <w:rsid w:val="00887636"/>
    <w:rsid w:val="008C6A11"/>
    <w:rsid w:val="008D0033"/>
    <w:rsid w:val="008E1FEA"/>
    <w:rsid w:val="009065E5"/>
    <w:rsid w:val="0090796E"/>
    <w:rsid w:val="00915FAC"/>
    <w:rsid w:val="00916CCB"/>
    <w:rsid w:val="009220D4"/>
    <w:rsid w:val="009313DC"/>
    <w:rsid w:val="00941973"/>
    <w:rsid w:val="0094662E"/>
    <w:rsid w:val="00957E66"/>
    <w:rsid w:val="00961954"/>
    <w:rsid w:val="00980CE4"/>
    <w:rsid w:val="00980E51"/>
    <w:rsid w:val="0098575F"/>
    <w:rsid w:val="00986578"/>
    <w:rsid w:val="009A715F"/>
    <w:rsid w:val="009D224D"/>
    <w:rsid w:val="009D78DB"/>
    <w:rsid w:val="009F0477"/>
    <w:rsid w:val="009F25C4"/>
    <w:rsid w:val="00A03E38"/>
    <w:rsid w:val="00A065DE"/>
    <w:rsid w:val="00A0677B"/>
    <w:rsid w:val="00A128AA"/>
    <w:rsid w:val="00A6558B"/>
    <w:rsid w:val="00AA70EA"/>
    <w:rsid w:val="00AC5A79"/>
    <w:rsid w:val="00AE0A9D"/>
    <w:rsid w:val="00AE24C0"/>
    <w:rsid w:val="00AE25F4"/>
    <w:rsid w:val="00AE6AB1"/>
    <w:rsid w:val="00AF0CF4"/>
    <w:rsid w:val="00AF36CF"/>
    <w:rsid w:val="00AF7352"/>
    <w:rsid w:val="00B2173F"/>
    <w:rsid w:val="00B256A5"/>
    <w:rsid w:val="00B26524"/>
    <w:rsid w:val="00B33B9E"/>
    <w:rsid w:val="00B411D7"/>
    <w:rsid w:val="00B7119A"/>
    <w:rsid w:val="00B81F1C"/>
    <w:rsid w:val="00B8447C"/>
    <w:rsid w:val="00B96D00"/>
    <w:rsid w:val="00B96ED9"/>
    <w:rsid w:val="00BA339B"/>
    <w:rsid w:val="00BE0C65"/>
    <w:rsid w:val="00BE6E1B"/>
    <w:rsid w:val="00BF1933"/>
    <w:rsid w:val="00C061F3"/>
    <w:rsid w:val="00C113A8"/>
    <w:rsid w:val="00C417D6"/>
    <w:rsid w:val="00C43B75"/>
    <w:rsid w:val="00C53628"/>
    <w:rsid w:val="00C64175"/>
    <w:rsid w:val="00C64D77"/>
    <w:rsid w:val="00C7298A"/>
    <w:rsid w:val="00C852E0"/>
    <w:rsid w:val="00C85EFD"/>
    <w:rsid w:val="00C9491D"/>
    <w:rsid w:val="00CA56BE"/>
    <w:rsid w:val="00CF5C9F"/>
    <w:rsid w:val="00CF6517"/>
    <w:rsid w:val="00D0139C"/>
    <w:rsid w:val="00D07347"/>
    <w:rsid w:val="00D17160"/>
    <w:rsid w:val="00D31D74"/>
    <w:rsid w:val="00D47C44"/>
    <w:rsid w:val="00D5037F"/>
    <w:rsid w:val="00D57A53"/>
    <w:rsid w:val="00D62548"/>
    <w:rsid w:val="00D8043D"/>
    <w:rsid w:val="00D86192"/>
    <w:rsid w:val="00D86409"/>
    <w:rsid w:val="00D8741D"/>
    <w:rsid w:val="00DA3E88"/>
    <w:rsid w:val="00DB4DD0"/>
    <w:rsid w:val="00DB5E94"/>
    <w:rsid w:val="00DF7334"/>
    <w:rsid w:val="00E044EE"/>
    <w:rsid w:val="00E0545D"/>
    <w:rsid w:val="00E0772D"/>
    <w:rsid w:val="00E42CC2"/>
    <w:rsid w:val="00E457DF"/>
    <w:rsid w:val="00E46DD8"/>
    <w:rsid w:val="00E53735"/>
    <w:rsid w:val="00E55700"/>
    <w:rsid w:val="00E870D3"/>
    <w:rsid w:val="00EC5ACA"/>
    <w:rsid w:val="00ED3584"/>
    <w:rsid w:val="00EE3A9F"/>
    <w:rsid w:val="00EE3C93"/>
    <w:rsid w:val="00EF2B96"/>
    <w:rsid w:val="00EF44A6"/>
    <w:rsid w:val="00EF63BB"/>
    <w:rsid w:val="00F1461D"/>
    <w:rsid w:val="00F370D6"/>
    <w:rsid w:val="00F37315"/>
    <w:rsid w:val="00F47CF4"/>
    <w:rsid w:val="00F503DF"/>
    <w:rsid w:val="00F51D06"/>
    <w:rsid w:val="00F63F27"/>
    <w:rsid w:val="00F73600"/>
    <w:rsid w:val="00F86F01"/>
    <w:rsid w:val="00FA1267"/>
    <w:rsid w:val="00FA6E07"/>
    <w:rsid w:val="00FB015F"/>
    <w:rsid w:val="00FC7AC1"/>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91D"/>
    <w:pPr>
      <w:tabs>
        <w:tab w:val="center" w:pos="4252"/>
        <w:tab w:val="right" w:pos="8504"/>
      </w:tabs>
      <w:snapToGrid w:val="0"/>
    </w:pPr>
  </w:style>
  <w:style w:type="character" w:customStyle="1" w:styleId="a4">
    <w:name w:val="ヘッダー (文字)"/>
    <w:basedOn w:val="a0"/>
    <w:link w:val="a3"/>
    <w:uiPriority w:val="99"/>
    <w:rsid w:val="00C9491D"/>
  </w:style>
  <w:style w:type="paragraph" w:styleId="a5">
    <w:name w:val="footer"/>
    <w:basedOn w:val="a"/>
    <w:link w:val="a6"/>
    <w:uiPriority w:val="99"/>
    <w:unhideWhenUsed/>
    <w:rsid w:val="00C9491D"/>
    <w:pPr>
      <w:tabs>
        <w:tab w:val="center" w:pos="4252"/>
        <w:tab w:val="right" w:pos="8504"/>
      </w:tabs>
      <w:snapToGrid w:val="0"/>
    </w:pPr>
  </w:style>
  <w:style w:type="character" w:customStyle="1" w:styleId="a6">
    <w:name w:val="フッター (文字)"/>
    <w:basedOn w:val="a0"/>
    <w:link w:val="a5"/>
    <w:uiPriority w:val="99"/>
    <w:rsid w:val="00C9491D"/>
  </w:style>
  <w:style w:type="paragraph" w:styleId="a7">
    <w:name w:val="List Paragraph"/>
    <w:basedOn w:val="a"/>
    <w:uiPriority w:val="99"/>
    <w:qFormat/>
    <w:rsid w:val="00C9491D"/>
    <w:pPr>
      <w:ind w:leftChars="400" w:left="840"/>
    </w:pPr>
  </w:style>
  <w:style w:type="table" w:styleId="a8">
    <w:name w:val="Table Grid"/>
    <w:basedOn w:val="a1"/>
    <w:uiPriority w:val="99"/>
    <w:rsid w:val="00D5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rsid w:val="008C6A11"/>
    <w:rPr>
      <w:rFonts w:cs="Times New Roman"/>
    </w:rPr>
  </w:style>
  <w:style w:type="paragraph" w:styleId="aa">
    <w:name w:val="Balloon Text"/>
    <w:basedOn w:val="a"/>
    <w:link w:val="ab"/>
    <w:uiPriority w:val="99"/>
    <w:rsid w:val="008C6A11"/>
    <w:rPr>
      <w:rFonts w:ascii="Arial" w:eastAsia="ＭＳ ゴシック" w:hAnsi="Arial" w:cs="Times New Roman"/>
      <w:sz w:val="18"/>
      <w:szCs w:val="20"/>
    </w:rPr>
  </w:style>
  <w:style w:type="character" w:customStyle="1" w:styleId="ab">
    <w:name w:val="吹き出し (文字)"/>
    <w:basedOn w:val="a0"/>
    <w:link w:val="aa"/>
    <w:uiPriority w:val="99"/>
    <w:rsid w:val="008C6A11"/>
    <w:rPr>
      <w:rFonts w:ascii="Arial" w:eastAsia="ＭＳ ゴシック" w:hAnsi="Arial" w:cs="Times New Roman"/>
      <w:sz w:val="18"/>
      <w:szCs w:val="20"/>
    </w:rPr>
  </w:style>
  <w:style w:type="character" w:styleId="ac">
    <w:name w:val="Hyperlink"/>
    <w:uiPriority w:val="99"/>
    <w:rsid w:val="008C6A11"/>
    <w:rPr>
      <w:rFonts w:cs="Times New Roman"/>
      <w:color w:val="0000FF"/>
      <w:u w:val="single"/>
    </w:rPr>
  </w:style>
  <w:style w:type="character" w:customStyle="1" w:styleId="st">
    <w:name w:val="st"/>
    <w:uiPriority w:val="99"/>
    <w:rsid w:val="008C6A11"/>
  </w:style>
  <w:style w:type="table" w:styleId="2">
    <w:name w:val="Light List"/>
    <w:basedOn w:val="a1"/>
    <w:uiPriority w:val="61"/>
    <w:rsid w:val="007857B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Shading"/>
    <w:basedOn w:val="a1"/>
    <w:uiPriority w:val="60"/>
    <w:rsid w:val="007857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C5ACA"/>
    <w:pPr>
      <w:widowControl w:val="0"/>
      <w:autoSpaceDE w:val="0"/>
      <w:autoSpaceDN w:val="0"/>
      <w:adjustRightInd w:val="0"/>
    </w:pPr>
    <w:rPr>
      <w:rFonts w:ascii="Kozuka Mincho Pr6N" w:eastAsia="Kozuka Mincho Pr6N" w:cs="Kozuka Mincho Pr6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91D"/>
    <w:pPr>
      <w:tabs>
        <w:tab w:val="center" w:pos="4252"/>
        <w:tab w:val="right" w:pos="8504"/>
      </w:tabs>
      <w:snapToGrid w:val="0"/>
    </w:pPr>
  </w:style>
  <w:style w:type="character" w:customStyle="1" w:styleId="a4">
    <w:name w:val="ヘッダー (文字)"/>
    <w:basedOn w:val="a0"/>
    <w:link w:val="a3"/>
    <w:uiPriority w:val="99"/>
    <w:rsid w:val="00C9491D"/>
  </w:style>
  <w:style w:type="paragraph" w:styleId="a5">
    <w:name w:val="footer"/>
    <w:basedOn w:val="a"/>
    <w:link w:val="a6"/>
    <w:uiPriority w:val="99"/>
    <w:unhideWhenUsed/>
    <w:rsid w:val="00C9491D"/>
    <w:pPr>
      <w:tabs>
        <w:tab w:val="center" w:pos="4252"/>
        <w:tab w:val="right" w:pos="8504"/>
      </w:tabs>
      <w:snapToGrid w:val="0"/>
    </w:pPr>
  </w:style>
  <w:style w:type="character" w:customStyle="1" w:styleId="a6">
    <w:name w:val="フッター (文字)"/>
    <w:basedOn w:val="a0"/>
    <w:link w:val="a5"/>
    <w:uiPriority w:val="99"/>
    <w:rsid w:val="00C9491D"/>
  </w:style>
  <w:style w:type="paragraph" w:styleId="a7">
    <w:name w:val="List Paragraph"/>
    <w:basedOn w:val="a"/>
    <w:uiPriority w:val="99"/>
    <w:qFormat/>
    <w:rsid w:val="00C9491D"/>
    <w:pPr>
      <w:ind w:leftChars="400" w:left="840"/>
    </w:pPr>
  </w:style>
  <w:style w:type="table" w:styleId="a8">
    <w:name w:val="Table Grid"/>
    <w:basedOn w:val="a1"/>
    <w:uiPriority w:val="99"/>
    <w:rsid w:val="00D57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rsid w:val="008C6A11"/>
    <w:rPr>
      <w:rFonts w:cs="Times New Roman"/>
    </w:rPr>
  </w:style>
  <w:style w:type="paragraph" w:styleId="aa">
    <w:name w:val="Balloon Text"/>
    <w:basedOn w:val="a"/>
    <w:link w:val="ab"/>
    <w:uiPriority w:val="99"/>
    <w:rsid w:val="008C6A11"/>
    <w:rPr>
      <w:rFonts w:ascii="Arial" w:eastAsia="ＭＳ ゴシック" w:hAnsi="Arial" w:cs="Times New Roman"/>
      <w:sz w:val="18"/>
      <w:szCs w:val="20"/>
    </w:rPr>
  </w:style>
  <w:style w:type="character" w:customStyle="1" w:styleId="ab">
    <w:name w:val="吹き出し (文字)"/>
    <w:basedOn w:val="a0"/>
    <w:link w:val="aa"/>
    <w:uiPriority w:val="99"/>
    <w:rsid w:val="008C6A11"/>
    <w:rPr>
      <w:rFonts w:ascii="Arial" w:eastAsia="ＭＳ ゴシック" w:hAnsi="Arial" w:cs="Times New Roman"/>
      <w:sz w:val="18"/>
      <w:szCs w:val="20"/>
    </w:rPr>
  </w:style>
  <w:style w:type="character" w:styleId="ac">
    <w:name w:val="Hyperlink"/>
    <w:uiPriority w:val="99"/>
    <w:rsid w:val="008C6A11"/>
    <w:rPr>
      <w:rFonts w:cs="Times New Roman"/>
      <w:color w:val="0000FF"/>
      <w:u w:val="single"/>
    </w:rPr>
  </w:style>
  <w:style w:type="character" w:customStyle="1" w:styleId="st">
    <w:name w:val="st"/>
    <w:uiPriority w:val="99"/>
    <w:rsid w:val="008C6A11"/>
  </w:style>
  <w:style w:type="table" w:styleId="2">
    <w:name w:val="Light List"/>
    <w:basedOn w:val="a1"/>
    <w:uiPriority w:val="61"/>
    <w:rsid w:val="007857B5"/>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Shading"/>
    <w:basedOn w:val="a1"/>
    <w:uiPriority w:val="60"/>
    <w:rsid w:val="007857B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C5ACA"/>
    <w:pPr>
      <w:widowControl w:val="0"/>
      <w:autoSpaceDE w:val="0"/>
      <w:autoSpaceDN w:val="0"/>
      <w:adjustRightInd w:val="0"/>
    </w:pPr>
    <w:rPr>
      <w:rFonts w:ascii="Kozuka Mincho Pr6N" w:eastAsia="Kozuka Mincho Pr6N" w:cs="Kozuka Mincho Pr6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811">
      <w:bodyDiv w:val="1"/>
      <w:marLeft w:val="0"/>
      <w:marRight w:val="0"/>
      <w:marTop w:val="0"/>
      <w:marBottom w:val="0"/>
      <w:divBdr>
        <w:top w:val="none" w:sz="0" w:space="0" w:color="auto"/>
        <w:left w:val="none" w:sz="0" w:space="0" w:color="auto"/>
        <w:bottom w:val="none" w:sz="0" w:space="0" w:color="auto"/>
        <w:right w:val="none" w:sz="0" w:space="0" w:color="auto"/>
      </w:divBdr>
    </w:div>
    <w:div w:id="181362475">
      <w:bodyDiv w:val="1"/>
      <w:marLeft w:val="0"/>
      <w:marRight w:val="0"/>
      <w:marTop w:val="0"/>
      <w:marBottom w:val="0"/>
      <w:divBdr>
        <w:top w:val="none" w:sz="0" w:space="0" w:color="auto"/>
        <w:left w:val="none" w:sz="0" w:space="0" w:color="auto"/>
        <w:bottom w:val="none" w:sz="0" w:space="0" w:color="auto"/>
        <w:right w:val="none" w:sz="0" w:space="0" w:color="auto"/>
      </w:divBdr>
    </w:div>
    <w:div w:id="305279221">
      <w:bodyDiv w:val="1"/>
      <w:marLeft w:val="0"/>
      <w:marRight w:val="0"/>
      <w:marTop w:val="0"/>
      <w:marBottom w:val="0"/>
      <w:divBdr>
        <w:top w:val="none" w:sz="0" w:space="0" w:color="auto"/>
        <w:left w:val="none" w:sz="0" w:space="0" w:color="auto"/>
        <w:bottom w:val="none" w:sz="0" w:space="0" w:color="auto"/>
        <w:right w:val="none" w:sz="0" w:space="0" w:color="auto"/>
      </w:divBdr>
    </w:div>
    <w:div w:id="359014904">
      <w:bodyDiv w:val="1"/>
      <w:marLeft w:val="0"/>
      <w:marRight w:val="0"/>
      <w:marTop w:val="0"/>
      <w:marBottom w:val="0"/>
      <w:divBdr>
        <w:top w:val="none" w:sz="0" w:space="0" w:color="auto"/>
        <w:left w:val="none" w:sz="0" w:space="0" w:color="auto"/>
        <w:bottom w:val="none" w:sz="0" w:space="0" w:color="auto"/>
        <w:right w:val="none" w:sz="0" w:space="0" w:color="auto"/>
      </w:divBdr>
    </w:div>
    <w:div w:id="431896358">
      <w:bodyDiv w:val="1"/>
      <w:marLeft w:val="0"/>
      <w:marRight w:val="0"/>
      <w:marTop w:val="0"/>
      <w:marBottom w:val="0"/>
      <w:divBdr>
        <w:top w:val="none" w:sz="0" w:space="0" w:color="auto"/>
        <w:left w:val="none" w:sz="0" w:space="0" w:color="auto"/>
        <w:bottom w:val="none" w:sz="0" w:space="0" w:color="auto"/>
        <w:right w:val="none" w:sz="0" w:space="0" w:color="auto"/>
      </w:divBdr>
    </w:div>
    <w:div w:id="541207555">
      <w:bodyDiv w:val="1"/>
      <w:marLeft w:val="0"/>
      <w:marRight w:val="0"/>
      <w:marTop w:val="0"/>
      <w:marBottom w:val="0"/>
      <w:divBdr>
        <w:top w:val="none" w:sz="0" w:space="0" w:color="auto"/>
        <w:left w:val="none" w:sz="0" w:space="0" w:color="auto"/>
        <w:bottom w:val="none" w:sz="0" w:space="0" w:color="auto"/>
        <w:right w:val="none" w:sz="0" w:space="0" w:color="auto"/>
      </w:divBdr>
    </w:div>
    <w:div w:id="579750879">
      <w:bodyDiv w:val="1"/>
      <w:marLeft w:val="0"/>
      <w:marRight w:val="0"/>
      <w:marTop w:val="0"/>
      <w:marBottom w:val="0"/>
      <w:divBdr>
        <w:top w:val="none" w:sz="0" w:space="0" w:color="auto"/>
        <w:left w:val="none" w:sz="0" w:space="0" w:color="auto"/>
        <w:bottom w:val="none" w:sz="0" w:space="0" w:color="auto"/>
        <w:right w:val="none" w:sz="0" w:space="0" w:color="auto"/>
      </w:divBdr>
    </w:div>
    <w:div w:id="870263575">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660620325">
      <w:bodyDiv w:val="1"/>
      <w:marLeft w:val="0"/>
      <w:marRight w:val="0"/>
      <w:marTop w:val="0"/>
      <w:marBottom w:val="0"/>
      <w:divBdr>
        <w:top w:val="none" w:sz="0" w:space="0" w:color="auto"/>
        <w:left w:val="none" w:sz="0" w:space="0" w:color="auto"/>
        <w:bottom w:val="none" w:sz="0" w:space="0" w:color="auto"/>
        <w:right w:val="none" w:sz="0" w:space="0" w:color="auto"/>
      </w:divBdr>
    </w:div>
    <w:div w:id="1736706477">
      <w:bodyDiv w:val="1"/>
      <w:marLeft w:val="0"/>
      <w:marRight w:val="0"/>
      <w:marTop w:val="0"/>
      <w:marBottom w:val="0"/>
      <w:divBdr>
        <w:top w:val="none" w:sz="0" w:space="0" w:color="auto"/>
        <w:left w:val="none" w:sz="0" w:space="0" w:color="auto"/>
        <w:bottom w:val="none" w:sz="0" w:space="0" w:color="auto"/>
        <w:right w:val="none" w:sz="0" w:space="0" w:color="auto"/>
      </w:divBdr>
    </w:div>
    <w:div w:id="1801651893">
      <w:bodyDiv w:val="1"/>
      <w:marLeft w:val="0"/>
      <w:marRight w:val="0"/>
      <w:marTop w:val="0"/>
      <w:marBottom w:val="0"/>
      <w:divBdr>
        <w:top w:val="none" w:sz="0" w:space="0" w:color="auto"/>
        <w:left w:val="none" w:sz="0" w:space="0" w:color="auto"/>
        <w:bottom w:val="none" w:sz="0" w:space="0" w:color="auto"/>
        <w:right w:val="none" w:sz="0" w:space="0" w:color="auto"/>
      </w:divBdr>
    </w:div>
    <w:div w:id="1840386561">
      <w:bodyDiv w:val="1"/>
      <w:marLeft w:val="0"/>
      <w:marRight w:val="0"/>
      <w:marTop w:val="0"/>
      <w:marBottom w:val="0"/>
      <w:divBdr>
        <w:top w:val="none" w:sz="0" w:space="0" w:color="auto"/>
        <w:left w:val="none" w:sz="0" w:space="0" w:color="auto"/>
        <w:bottom w:val="none" w:sz="0" w:space="0" w:color="auto"/>
        <w:right w:val="none" w:sz="0" w:space="0" w:color="auto"/>
      </w:divBdr>
    </w:div>
    <w:div w:id="2002345895">
      <w:bodyDiv w:val="1"/>
      <w:marLeft w:val="0"/>
      <w:marRight w:val="0"/>
      <w:marTop w:val="0"/>
      <w:marBottom w:val="0"/>
      <w:divBdr>
        <w:top w:val="none" w:sz="0" w:space="0" w:color="auto"/>
        <w:left w:val="none" w:sz="0" w:space="0" w:color="auto"/>
        <w:bottom w:val="none" w:sz="0" w:space="0" w:color="auto"/>
        <w:right w:val="none" w:sz="0" w:space="0" w:color="auto"/>
      </w:divBdr>
    </w:div>
    <w:div w:id="21217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I:\&#21830;&#35696;&#25152;\&#12498;&#12450;&#12522;&#12531;&#12464;\&#20840;&#203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21830;&#35696;&#25152;\&#12498;&#12450;&#12522;&#12531;&#12464;\&#20840;&#203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21830;&#35696;&#25152;\&#12498;&#12450;&#12522;&#12531;&#12464;\&#20840;&#203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21830;&#35696;&#25152;\&#12498;&#12450;&#12522;&#12531;&#12464;\&#20840;&#203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21830;&#35696;&#25152;\&#12498;&#12450;&#12522;&#12531;&#12464;\&#20840;&#203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80863635764119"/>
          <c:y val="5.2918260217472819E-2"/>
          <c:w val="0.62957649138078842"/>
          <c:h val="0.89489801274840641"/>
        </c:manualLayout>
      </c:layout>
      <c:pieChart>
        <c:varyColors val="1"/>
        <c:ser>
          <c:idx val="0"/>
          <c:order val="0"/>
          <c:dLbls>
            <c:dLbl>
              <c:idx val="5"/>
              <c:layout>
                <c:manualLayout>
                  <c:x val="-6.0276711642200498E-2"/>
                  <c:y val="8.0622047244094483E-2"/>
                </c:manualLayout>
              </c:layout>
              <c:showLegendKey val="0"/>
              <c:showVal val="0"/>
              <c:showCatName val="1"/>
              <c:showSerName val="0"/>
              <c:showPercent val="1"/>
              <c:showBubbleSize val="0"/>
            </c:dLbl>
            <c:dLbl>
              <c:idx val="6"/>
              <c:layout>
                <c:manualLayout>
                  <c:x val="-4.6451417190941584E-2"/>
                  <c:y val="-7.3978252718410195E-4"/>
                </c:manualLayout>
              </c:layout>
              <c:showLegendKey val="0"/>
              <c:showVal val="0"/>
              <c:showCatName val="1"/>
              <c:showSerName val="0"/>
              <c:showPercent val="1"/>
              <c:showBubbleSize val="0"/>
            </c:dLbl>
            <c:dLbl>
              <c:idx val="7"/>
              <c:layout>
                <c:manualLayout>
                  <c:x val="-4.2780437621176746E-2"/>
                  <c:y val="-9.261454818147731E-2"/>
                </c:manualLayout>
              </c:layout>
              <c:showLegendKey val="0"/>
              <c:showVal val="0"/>
              <c:showCatName val="1"/>
              <c:showSerName val="0"/>
              <c:showPercent val="1"/>
              <c:showBubbleSize val="0"/>
            </c:dLbl>
            <c:numFmt formatCode="0.0%" sourceLinked="0"/>
            <c:txPr>
              <a:bodyPr/>
              <a:lstStyle/>
              <a:p>
                <a:pPr>
                  <a:defRPr sz="800"/>
                </a:pPr>
                <a:endParaRPr lang="ja-JP"/>
              </a:p>
            </c:txPr>
            <c:showLegendKey val="0"/>
            <c:showVal val="0"/>
            <c:showCatName val="1"/>
            <c:showSerName val="0"/>
            <c:showPercent val="1"/>
            <c:showBubbleSize val="0"/>
            <c:showLeaderLines val="1"/>
          </c:dLbls>
          <c:cat>
            <c:strRef>
              <c:f>表紙!$C$9:$C$17</c:f>
              <c:strCache>
                <c:ptCount val="9"/>
                <c:pt idx="0">
                  <c:v>①製造業</c:v>
                </c:pt>
                <c:pt idx="1">
                  <c:v>②卸・小売業</c:v>
                </c:pt>
                <c:pt idx="2">
                  <c:v>③建設業</c:v>
                </c:pt>
                <c:pt idx="3">
                  <c:v>④飲食業</c:v>
                </c:pt>
                <c:pt idx="4">
                  <c:v>⑤理美容業</c:v>
                </c:pt>
                <c:pt idx="5">
                  <c:v>⑥宿泊業</c:v>
                </c:pt>
                <c:pt idx="6">
                  <c:v>⑦不動産業</c:v>
                </c:pt>
                <c:pt idx="7">
                  <c:v>⑧医療・福祉業</c:v>
                </c:pt>
                <c:pt idx="8">
                  <c:v>⑨その他サービス業</c:v>
                </c:pt>
              </c:strCache>
            </c:strRef>
          </c:cat>
          <c:val>
            <c:numRef>
              <c:f>表紙!$D$9:$D$17</c:f>
              <c:numCache>
                <c:formatCode>General</c:formatCode>
                <c:ptCount val="9"/>
                <c:pt idx="0">
                  <c:v>209</c:v>
                </c:pt>
                <c:pt idx="1">
                  <c:v>428</c:v>
                </c:pt>
                <c:pt idx="2">
                  <c:v>293</c:v>
                </c:pt>
                <c:pt idx="3">
                  <c:v>123</c:v>
                </c:pt>
                <c:pt idx="4">
                  <c:v>116</c:v>
                </c:pt>
                <c:pt idx="5">
                  <c:v>45</c:v>
                </c:pt>
                <c:pt idx="6">
                  <c:v>24</c:v>
                </c:pt>
                <c:pt idx="7">
                  <c:v>40</c:v>
                </c:pt>
                <c:pt idx="8">
                  <c:v>319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bg1"/>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mj-ea"/>
                <a:ea typeface="+mj-ea"/>
              </a:defRPr>
            </a:pPr>
            <a:r>
              <a:rPr lang="ja-JP" altLang="en-US" sz="1000">
                <a:latin typeface="+mj-ea"/>
                <a:ea typeface="+mj-ea"/>
              </a:rPr>
              <a:t>③東電原発補償金の</a:t>
            </a:r>
            <a:endParaRPr lang="en-US" altLang="ja-JP" sz="1000">
              <a:latin typeface="+mj-ea"/>
              <a:ea typeface="+mj-ea"/>
            </a:endParaRPr>
          </a:p>
          <a:p>
            <a:pPr>
              <a:defRPr sz="1000">
                <a:latin typeface="+mj-ea"/>
                <a:ea typeface="+mj-ea"/>
              </a:defRPr>
            </a:pPr>
            <a:r>
              <a:rPr lang="ja-JP" altLang="en-US" sz="1000">
                <a:latin typeface="+mj-ea"/>
                <a:ea typeface="+mj-ea"/>
              </a:rPr>
              <a:t>有無</a:t>
            </a:r>
          </a:p>
        </c:rich>
      </c:tx>
      <c:layout/>
      <c:overlay val="0"/>
    </c:title>
    <c:autoTitleDeleted val="0"/>
    <c:plotArea>
      <c:layout>
        <c:manualLayout>
          <c:layoutTarget val="inner"/>
          <c:xMode val="edge"/>
          <c:yMode val="edge"/>
          <c:x val="0.10230057063762552"/>
          <c:y val="0.28780161100552087"/>
          <c:w val="0.79539885872474891"/>
          <c:h val="0.55129369173680876"/>
        </c:manualLayout>
      </c:layout>
      <c:pieChart>
        <c:varyColors val="1"/>
        <c:ser>
          <c:idx val="0"/>
          <c:order val="0"/>
          <c:dPt>
            <c:idx val="1"/>
            <c:bubble3D val="0"/>
            <c:spPr>
              <a:solidFill>
                <a:schemeClr val="accent2"/>
              </a:solidFill>
            </c:spPr>
          </c:dPt>
          <c:dPt>
            <c:idx val="2"/>
            <c:bubble3D val="0"/>
            <c:spPr>
              <a:solidFill>
                <a:schemeClr val="accent4"/>
              </a:solidFill>
            </c:spPr>
          </c:dPt>
          <c:dLbls>
            <c:dLbl>
              <c:idx val="0"/>
              <c:numFmt formatCode="0.0%" sourceLinked="0"/>
              <c:spPr>
                <a:solidFill>
                  <a:schemeClr val="bg1">
                    <a:alpha val="70000"/>
                  </a:schemeClr>
                </a:solidFill>
              </c:spPr>
              <c:txPr>
                <a:bodyPr/>
                <a:lstStyle/>
                <a:p>
                  <a:pPr>
                    <a:defRPr sz="800">
                      <a:solidFill>
                        <a:sysClr val="windowText" lastClr="000000"/>
                      </a:solidFill>
                    </a:defRPr>
                  </a:pPr>
                  <a:endParaRPr lang="ja-JP"/>
                </a:p>
              </c:txPr>
              <c:showLegendKey val="0"/>
              <c:showVal val="0"/>
              <c:showCatName val="1"/>
              <c:showSerName val="0"/>
              <c:showPercent val="1"/>
              <c:showBubbleSize val="0"/>
            </c:dLbl>
            <c:dLbl>
              <c:idx val="1"/>
              <c:numFmt formatCode="0.0%" sourceLinked="0"/>
              <c:spPr>
                <a:solidFill>
                  <a:schemeClr val="bg1">
                    <a:alpha val="70000"/>
                  </a:schemeClr>
                </a:solidFill>
              </c:spPr>
              <c:txPr>
                <a:bodyPr/>
                <a:lstStyle/>
                <a:p>
                  <a:pPr>
                    <a:defRPr sz="800">
                      <a:solidFill>
                        <a:sysClr val="windowText" lastClr="000000"/>
                      </a:solidFill>
                    </a:defRPr>
                  </a:pPr>
                  <a:endParaRPr lang="ja-JP"/>
                </a:p>
              </c:txPr>
              <c:showLegendKey val="0"/>
              <c:showVal val="0"/>
              <c:showCatName val="1"/>
              <c:showSerName val="0"/>
              <c:showPercent val="1"/>
              <c:showBubbleSize val="0"/>
            </c:dLbl>
            <c:dLbl>
              <c:idx val="2"/>
              <c:layout>
                <c:manualLayout>
                  <c:x val="-8.1058309922314983E-2"/>
                  <c:y val="0.11938021540410897"/>
                </c:manualLayout>
              </c:layout>
              <c:numFmt formatCode="0.0%" sourceLinked="0"/>
              <c:spPr>
                <a:solidFill>
                  <a:schemeClr val="bg1">
                    <a:alpha val="70000"/>
                  </a:schemeClr>
                </a:solidFill>
              </c:spPr>
              <c:txPr>
                <a:bodyPr/>
                <a:lstStyle/>
                <a:p>
                  <a:pPr>
                    <a:defRPr sz="800">
                      <a:solidFill>
                        <a:sysClr val="windowText" lastClr="000000"/>
                      </a:solidFill>
                    </a:defRPr>
                  </a:pPr>
                  <a:endParaRPr lang="ja-JP"/>
                </a:p>
              </c:txPr>
              <c:showLegendKey val="0"/>
              <c:showVal val="0"/>
              <c:showCatName val="1"/>
              <c:showSerName val="0"/>
              <c:showPercent val="1"/>
              <c:showBubbleSize val="0"/>
            </c:dLbl>
            <c:numFmt formatCode="0.0%" sourceLinked="0"/>
            <c:spPr>
              <a:solidFill>
                <a:schemeClr val="bg1">
                  <a:alpha val="70000"/>
                </a:schemeClr>
              </a:solidFill>
            </c:spPr>
            <c:txPr>
              <a:bodyPr/>
              <a:lstStyle/>
              <a:p>
                <a:pPr>
                  <a:defRPr sz="900">
                    <a:solidFill>
                      <a:sysClr val="windowText" lastClr="000000"/>
                    </a:solidFill>
                  </a:defRPr>
                </a:pPr>
                <a:endParaRPr lang="ja-JP"/>
              </a:p>
            </c:txPr>
            <c:showLegendKey val="0"/>
            <c:showVal val="0"/>
            <c:showCatName val="1"/>
            <c:showSerName val="0"/>
            <c:showPercent val="1"/>
            <c:showBubbleSize val="0"/>
            <c:showLeaderLines val="0"/>
          </c:dLbls>
          <c:cat>
            <c:strRef>
              <c:f>①経営状況!$C$23:$C$25</c:f>
              <c:strCache>
                <c:ptCount val="3"/>
                <c:pt idx="0">
                  <c:v>有</c:v>
                </c:pt>
                <c:pt idx="1">
                  <c:v>無</c:v>
                </c:pt>
                <c:pt idx="2">
                  <c:v>無回答</c:v>
                </c:pt>
              </c:strCache>
            </c:strRef>
          </c:cat>
          <c:val>
            <c:numRef>
              <c:f>①経営状況!$E$23:$E$25</c:f>
              <c:numCache>
                <c:formatCode>0.0%</c:formatCode>
                <c:ptCount val="3"/>
                <c:pt idx="0">
                  <c:v>0.16155291170945524</c:v>
                </c:pt>
                <c:pt idx="1">
                  <c:v>0.81715716969317476</c:v>
                </c:pt>
                <c:pt idx="2">
                  <c:v>2.1289918597370068E-2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mj-ea"/>
                <a:ea typeface="+mj-ea"/>
              </a:defRPr>
            </a:pPr>
            <a:r>
              <a:rPr lang="ja-JP" altLang="en-US" sz="1000">
                <a:latin typeface="+mj-ea"/>
                <a:ea typeface="+mj-ea"/>
              </a:rPr>
              <a:t>②資金繰り</a:t>
            </a:r>
          </a:p>
        </c:rich>
      </c:tx>
      <c:layout/>
      <c:overlay val="0"/>
    </c:title>
    <c:autoTitleDeleted val="0"/>
    <c:plotArea>
      <c:layout>
        <c:manualLayout>
          <c:layoutTarget val="inner"/>
          <c:xMode val="edge"/>
          <c:yMode val="edge"/>
          <c:x val="0.10230057063762552"/>
          <c:y val="0.27331885238483122"/>
          <c:w val="0.79539885872474891"/>
          <c:h val="0.55129369173680876"/>
        </c:manualLayout>
      </c:layout>
      <c:pieChart>
        <c:varyColors val="1"/>
        <c:ser>
          <c:idx val="0"/>
          <c:order val="0"/>
          <c:dPt>
            <c:idx val="1"/>
            <c:bubble3D val="0"/>
            <c:spPr>
              <a:solidFill>
                <a:schemeClr val="accent6">
                  <a:lumMod val="75000"/>
                </a:schemeClr>
              </a:solidFill>
            </c:spPr>
          </c:dPt>
          <c:dPt>
            <c:idx val="2"/>
            <c:bubble3D val="0"/>
            <c:spPr>
              <a:solidFill>
                <a:schemeClr val="accent4"/>
              </a:solidFill>
            </c:spPr>
          </c:dPt>
          <c:dPt>
            <c:idx val="3"/>
            <c:bubble3D val="0"/>
            <c:spPr>
              <a:solidFill>
                <a:schemeClr val="accent2"/>
              </a:solidFill>
            </c:spPr>
          </c:dPt>
          <c:dLbls>
            <c:dLbl>
              <c:idx val="0"/>
              <c:layout>
                <c:manualLayout>
                  <c:x val="7.3741528577584521E-3"/>
                  <c:y val="0.10703412073490813"/>
                </c:manualLayout>
              </c:layout>
              <c:showLegendKey val="0"/>
              <c:showVal val="0"/>
              <c:showCatName val="1"/>
              <c:showSerName val="0"/>
              <c:showPercent val="1"/>
              <c:showBubbleSize val="0"/>
            </c:dLbl>
            <c:dLbl>
              <c:idx val="2"/>
              <c:layout>
                <c:manualLayout>
                  <c:x val="0.20895522388059701"/>
                  <c:y val="0.20473164992306997"/>
                </c:manualLayout>
              </c:layout>
              <c:showLegendKey val="0"/>
              <c:showVal val="0"/>
              <c:showCatName val="1"/>
              <c:showSerName val="0"/>
              <c:showPercent val="1"/>
              <c:showBubbleSize val="0"/>
            </c:dLbl>
            <c:dLbl>
              <c:idx val="3"/>
              <c:layout>
                <c:manualLayout>
                  <c:x val="-6.2361160078870735E-2"/>
                  <c:y val="0.11016924608561861"/>
                </c:manualLayout>
              </c:layout>
              <c:showLegendKey val="0"/>
              <c:showVal val="0"/>
              <c:showCatName val="1"/>
              <c:showSerName val="0"/>
              <c:showPercent val="1"/>
              <c:showBubbleSize val="0"/>
            </c:dLbl>
            <c:numFmt formatCode="0.0%" sourceLinked="0"/>
            <c:spPr>
              <a:solidFill>
                <a:schemeClr val="bg1">
                  <a:alpha val="70000"/>
                </a:schemeClr>
              </a:solidFill>
            </c:spPr>
            <c:txPr>
              <a:bodyPr/>
              <a:lstStyle/>
              <a:p>
                <a:pPr>
                  <a:defRPr sz="800"/>
                </a:pPr>
                <a:endParaRPr lang="ja-JP"/>
              </a:p>
            </c:txPr>
            <c:showLegendKey val="0"/>
            <c:showVal val="0"/>
            <c:showCatName val="1"/>
            <c:showSerName val="0"/>
            <c:showPercent val="1"/>
            <c:showBubbleSize val="0"/>
            <c:showLeaderLines val="0"/>
          </c:dLbls>
          <c:cat>
            <c:strRef>
              <c:f>①経営状況!$C$15:$C$18</c:f>
              <c:strCache>
                <c:ptCount val="4"/>
                <c:pt idx="0">
                  <c:v>良好</c:v>
                </c:pt>
                <c:pt idx="1">
                  <c:v>普通</c:v>
                </c:pt>
                <c:pt idx="2">
                  <c:v>やや厳しい</c:v>
                </c:pt>
                <c:pt idx="3">
                  <c:v>厳しい</c:v>
                </c:pt>
              </c:strCache>
            </c:strRef>
          </c:cat>
          <c:val>
            <c:numRef>
              <c:f>①経営状況!$E$15:$E$18</c:f>
              <c:numCache>
                <c:formatCode>0.0%</c:formatCode>
                <c:ptCount val="4"/>
                <c:pt idx="0">
                  <c:v>5.8234189104571073E-2</c:v>
                </c:pt>
                <c:pt idx="1">
                  <c:v>0.71947401377582965</c:v>
                </c:pt>
                <c:pt idx="2">
                  <c:v>0.20788979336255478</c:v>
                </c:pt>
                <c:pt idx="3">
                  <c:v>1.4402003757044458E-2</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mj-ea"/>
                <a:ea typeface="+mj-ea"/>
              </a:defRPr>
            </a:pPr>
            <a:r>
              <a:rPr lang="ja-JP" altLang="en-US" sz="1000">
                <a:latin typeface="+mj-ea"/>
                <a:ea typeface="+mj-ea"/>
              </a:rPr>
              <a:t>①売上・採算</a:t>
            </a:r>
          </a:p>
        </c:rich>
      </c:tx>
      <c:layout/>
      <c:overlay val="0"/>
    </c:title>
    <c:autoTitleDeleted val="0"/>
    <c:plotArea>
      <c:layout>
        <c:manualLayout>
          <c:layoutTarget val="inner"/>
          <c:xMode val="edge"/>
          <c:yMode val="edge"/>
          <c:x val="0.10893412670721286"/>
          <c:y val="0.27331875343696138"/>
          <c:w val="0.78876524922121638"/>
          <c:h val="0.54669543064696147"/>
        </c:manualLayout>
      </c:layout>
      <c:pieChart>
        <c:varyColors val="1"/>
        <c:ser>
          <c:idx val="0"/>
          <c:order val="0"/>
          <c:spPr>
            <a:ln w="12700">
              <a:noFill/>
            </a:ln>
          </c:spPr>
          <c:dPt>
            <c:idx val="0"/>
            <c:bubble3D val="0"/>
            <c:spPr>
              <a:solidFill>
                <a:schemeClr val="accent1"/>
              </a:solidFill>
              <a:ln w="12700">
                <a:noFill/>
              </a:ln>
            </c:spPr>
          </c:dPt>
          <c:dPt>
            <c:idx val="1"/>
            <c:bubble3D val="0"/>
            <c:spPr>
              <a:solidFill>
                <a:schemeClr val="accent6">
                  <a:lumMod val="75000"/>
                </a:schemeClr>
              </a:solidFill>
              <a:ln w="12700">
                <a:noFill/>
              </a:ln>
            </c:spPr>
          </c:dPt>
          <c:dPt>
            <c:idx val="2"/>
            <c:bubble3D val="0"/>
            <c:spPr>
              <a:solidFill>
                <a:schemeClr val="accent2"/>
              </a:solidFill>
              <a:ln w="12700">
                <a:noFill/>
              </a:ln>
            </c:spPr>
          </c:dPt>
          <c:dLbls>
            <c:dLbl>
              <c:idx val="0"/>
              <c:layout>
                <c:manualLayout>
                  <c:x val="-9.5433643036075752E-2"/>
                  <c:y val="0.15711932043829471"/>
                </c:manualLayout>
              </c:layout>
              <c:showLegendKey val="0"/>
              <c:showVal val="0"/>
              <c:showCatName val="1"/>
              <c:showSerName val="0"/>
              <c:showPercent val="1"/>
              <c:showBubbleSize val="0"/>
            </c:dLbl>
            <c:dLbl>
              <c:idx val="1"/>
              <c:layout>
                <c:manualLayout>
                  <c:x val="-0.20852128257467653"/>
                  <c:y val="-0.20221551191401504"/>
                </c:manualLayout>
              </c:layout>
              <c:showLegendKey val="0"/>
              <c:showVal val="0"/>
              <c:showCatName val="1"/>
              <c:showSerName val="0"/>
              <c:showPercent val="1"/>
              <c:showBubbleSize val="0"/>
            </c:dLbl>
            <c:dLbl>
              <c:idx val="2"/>
              <c:layout>
                <c:manualLayout>
                  <c:x val="0.21722266213429553"/>
                  <c:y val="0.12326866747446195"/>
                </c:manualLayout>
              </c:layout>
              <c:showLegendKey val="0"/>
              <c:showVal val="0"/>
              <c:showCatName val="1"/>
              <c:showSerName val="0"/>
              <c:showPercent val="1"/>
              <c:showBubbleSize val="0"/>
            </c:dLbl>
            <c:numFmt formatCode="0.0%" sourceLinked="0"/>
            <c:spPr>
              <a:solidFill>
                <a:schemeClr val="bg1">
                  <a:alpha val="70000"/>
                </a:schemeClr>
              </a:solidFill>
            </c:spPr>
            <c:txPr>
              <a:bodyPr/>
              <a:lstStyle/>
              <a:p>
                <a:pPr>
                  <a:defRPr sz="800"/>
                </a:pPr>
                <a:endParaRPr lang="ja-JP"/>
              </a:p>
            </c:txPr>
            <c:showLegendKey val="0"/>
            <c:showVal val="0"/>
            <c:showCatName val="1"/>
            <c:showSerName val="0"/>
            <c:showPercent val="1"/>
            <c:showBubbleSize val="0"/>
            <c:showLeaderLines val="0"/>
          </c:dLbls>
          <c:cat>
            <c:strRef>
              <c:f>①経営状況!$C$8:$C$10</c:f>
              <c:strCache>
                <c:ptCount val="3"/>
                <c:pt idx="0">
                  <c:v>好転</c:v>
                </c:pt>
                <c:pt idx="1">
                  <c:v>変化なし</c:v>
                </c:pt>
                <c:pt idx="2">
                  <c:v>悪化</c:v>
                </c:pt>
              </c:strCache>
            </c:strRef>
          </c:cat>
          <c:val>
            <c:numRef>
              <c:f>①経営状況!$E$8:$E$10</c:f>
              <c:numCache>
                <c:formatCode>0.0%</c:formatCode>
                <c:ptCount val="3"/>
                <c:pt idx="0">
                  <c:v>0.11271133375078271</c:v>
                </c:pt>
                <c:pt idx="1">
                  <c:v>0.63556668753913592</c:v>
                </c:pt>
                <c:pt idx="2">
                  <c:v>0.2517219787100814</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manualLayout>
          <c:layoutTarget val="inner"/>
          <c:xMode val="edge"/>
          <c:yMode val="edge"/>
          <c:x val="0.19357007134671547"/>
          <c:y val="1.911316742341514E-2"/>
          <c:w val="0.7608105052187295"/>
          <c:h val="0.79270508517112648"/>
        </c:manualLayout>
      </c:layout>
      <c:barChart>
        <c:barDir val="col"/>
        <c:grouping val="clustered"/>
        <c:varyColors val="0"/>
        <c:ser>
          <c:idx val="0"/>
          <c:order val="0"/>
          <c:spPr>
            <a:solidFill>
              <a:schemeClr val="accent3">
                <a:lumMod val="20000"/>
                <a:lumOff val="80000"/>
              </a:schemeClr>
            </a:solidFill>
            <a:ln>
              <a:solidFill>
                <a:schemeClr val="accent3">
                  <a:lumMod val="40000"/>
                  <a:lumOff val="60000"/>
                </a:schemeClr>
              </a:solidFill>
            </a:ln>
          </c:spPr>
          <c:invertIfNegative val="0"/>
          <c:cat>
            <c:strRef>
              <c:f>②経営課題!$B$6:$B$17</c:f>
              <c:strCache>
                <c:ptCount val="12"/>
                <c:pt idx="0">
                  <c:v>売上拡大策</c:v>
                </c:pt>
                <c:pt idx="1">
                  <c:v>販路拡大策</c:v>
                </c:pt>
                <c:pt idx="2">
                  <c:v>事業拡大策</c:v>
                </c:pt>
                <c:pt idx="3">
                  <c:v>新商品開発</c:v>
                </c:pt>
                <c:pt idx="4">
                  <c:v>組織・人材育成</c:v>
                </c:pt>
                <c:pt idx="5">
                  <c:v>経営・財務改善</c:v>
                </c:pt>
                <c:pt idx="6">
                  <c:v>資金繰り</c:v>
                </c:pt>
                <c:pt idx="7">
                  <c:v>経理・税務対策</c:v>
                </c:pt>
                <c:pt idx="8">
                  <c:v>消費税対策</c:v>
                </c:pt>
                <c:pt idx="9">
                  <c:v>雇用対策</c:v>
                </c:pt>
                <c:pt idx="10">
                  <c:v>情報化策</c:v>
                </c:pt>
                <c:pt idx="11">
                  <c:v>事業承継</c:v>
                </c:pt>
              </c:strCache>
            </c:strRef>
          </c:cat>
          <c:val>
            <c:numRef>
              <c:f>②経営課題!$D$6:$D$17</c:f>
              <c:numCache>
                <c:formatCode>0.0%</c:formatCode>
                <c:ptCount val="12"/>
                <c:pt idx="0">
                  <c:v>0.23</c:v>
                </c:pt>
                <c:pt idx="1">
                  <c:v>0.19441176470588234</c:v>
                </c:pt>
                <c:pt idx="2">
                  <c:v>4.5588235294117645E-2</c:v>
                </c:pt>
                <c:pt idx="3">
                  <c:v>2.2941176470588236E-2</c:v>
                </c:pt>
                <c:pt idx="4">
                  <c:v>7.2941176470588232E-2</c:v>
                </c:pt>
                <c:pt idx="5">
                  <c:v>9.6470588235294114E-2</c:v>
                </c:pt>
                <c:pt idx="6">
                  <c:v>2.5588235294117648E-2</c:v>
                </c:pt>
                <c:pt idx="7">
                  <c:v>3.8529411764705881E-2</c:v>
                </c:pt>
                <c:pt idx="8">
                  <c:v>6.0294117647058824E-2</c:v>
                </c:pt>
                <c:pt idx="9">
                  <c:v>0.14117647058823529</c:v>
                </c:pt>
                <c:pt idx="10">
                  <c:v>3.2058823529411765E-2</c:v>
                </c:pt>
                <c:pt idx="11">
                  <c:v>0.04</c:v>
                </c:pt>
              </c:numCache>
            </c:numRef>
          </c:val>
        </c:ser>
        <c:dLbls>
          <c:showLegendKey val="0"/>
          <c:showVal val="1"/>
          <c:showCatName val="0"/>
          <c:showSerName val="0"/>
          <c:showPercent val="0"/>
          <c:showBubbleSize val="0"/>
        </c:dLbls>
        <c:gapWidth val="150"/>
        <c:axId val="269412224"/>
        <c:axId val="269413760"/>
      </c:barChart>
      <c:catAx>
        <c:axId val="269412224"/>
        <c:scaling>
          <c:orientation val="minMax"/>
        </c:scaling>
        <c:delete val="0"/>
        <c:axPos val="b"/>
        <c:majorTickMark val="none"/>
        <c:minorTickMark val="none"/>
        <c:tickLblPos val="nextTo"/>
        <c:txPr>
          <a:bodyPr/>
          <a:lstStyle/>
          <a:p>
            <a:pPr>
              <a:defRPr sz="900">
                <a:latin typeface="+mj-ea"/>
                <a:ea typeface="+mj-ea"/>
              </a:defRPr>
            </a:pPr>
            <a:endParaRPr lang="ja-JP"/>
          </a:p>
        </c:txPr>
        <c:crossAx val="269413760"/>
        <c:crosses val="autoZero"/>
        <c:auto val="1"/>
        <c:lblAlgn val="ctr"/>
        <c:lblOffset val="100"/>
        <c:noMultiLvlLbl val="0"/>
      </c:catAx>
      <c:valAx>
        <c:axId val="269413760"/>
        <c:scaling>
          <c:orientation val="minMax"/>
        </c:scaling>
        <c:delete val="1"/>
        <c:axPos val="l"/>
        <c:numFmt formatCode="0.0%" sourceLinked="1"/>
        <c:majorTickMark val="out"/>
        <c:minorTickMark val="none"/>
        <c:tickLblPos val="nextTo"/>
        <c:crossAx val="269412224"/>
        <c:crosses val="autoZero"/>
        <c:crossBetween val="between"/>
      </c:valAx>
      <c:spPr>
        <a:no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7A6D2-AD3E-4DCE-9916-F4DF6CF1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8</Pages>
  <Words>960</Words>
  <Characters>5473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fukusaku</dc:creator>
  <cp:lastModifiedBy>fukusaku</cp:lastModifiedBy>
  <cp:revision>17</cp:revision>
  <cp:lastPrinted>2016-05-25T05:55:00Z</cp:lastPrinted>
  <dcterms:created xsi:type="dcterms:W3CDTF">2016-05-10T02:50:00Z</dcterms:created>
  <dcterms:modified xsi:type="dcterms:W3CDTF">2016-06-03T10:03:00Z</dcterms:modified>
</cp:coreProperties>
</file>